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ABB78" w14:textId="078EFE3A" w:rsidR="004A7487" w:rsidRDefault="00A377B9" w:rsidP="0073400F">
      <w:pPr>
        <w:pStyle w:val="N-VAHoofdtitel"/>
      </w:pPr>
      <w:r w:rsidRPr="00A377B9">
        <w:rPr>
          <w:noProof/>
          <w:sz w:val="36"/>
        </w:rPr>
        <w:drawing>
          <wp:anchor distT="0" distB="0" distL="114300" distR="114300" simplePos="0" relativeHeight="251659264" behindDoc="1" locked="0" layoutInCell="1" allowOverlap="1" wp14:anchorId="596CDF82" wp14:editId="13BBA514">
            <wp:simplePos x="0" y="0"/>
            <wp:positionH relativeFrom="page">
              <wp:align>left</wp:align>
            </wp:positionH>
            <wp:positionV relativeFrom="page">
              <wp:posOffset>-196850</wp:posOffset>
            </wp:positionV>
            <wp:extent cx="7560000" cy="3596400"/>
            <wp:effectExtent l="0" t="0" r="3175"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596400"/>
                    </a:xfrm>
                    <a:prstGeom prst="rect">
                      <a:avLst/>
                    </a:prstGeom>
                  </pic:spPr>
                </pic:pic>
              </a:graphicData>
            </a:graphic>
            <wp14:sizeRelH relativeFrom="margin">
              <wp14:pctWidth>0</wp14:pctWidth>
            </wp14:sizeRelH>
            <wp14:sizeRelV relativeFrom="margin">
              <wp14:pctHeight>0</wp14:pctHeight>
            </wp14:sizeRelV>
          </wp:anchor>
        </w:drawing>
      </w:r>
    </w:p>
    <w:p w14:paraId="0AB69289" w14:textId="77777777" w:rsidR="004A7487" w:rsidRDefault="004A7487" w:rsidP="0073400F">
      <w:pPr>
        <w:pStyle w:val="N-VAHoofdtitel"/>
      </w:pPr>
    </w:p>
    <w:p w14:paraId="19203E21" w14:textId="77777777" w:rsidR="004A7487" w:rsidRDefault="004A7487" w:rsidP="0073400F">
      <w:pPr>
        <w:pStyle w:val="N-VAHoofdtitel"/>
      </w:pPr>
    </w:p>
    <w:p w14:paraId="04FC3FD9" w14:textId="77777777" w:rsidR="004A7487" w:rsidRDefault="004A7487" w:rsidP="0073400F">
      <w:pPr>
        <w:pStyle w:val="N-VAHoofdtitel"/>
      </w:pPr>
    </w:p>
    <w:p w14:paraId="5C2A22B9" w14:textId="63FD4D65" w:rsidR="00FB2D94" w:rsidRPr="00A377B9" w:rsidRDefault="00A377B9" w:rsidP="0073400F">
      <w:pPr>
        <w:pStyle w:val="N-VAHoofdtitel"/>
        <w:rPr>
          <w:sz w:val="36"/>
        </w:rPr>
      </w:pPr>
      <w:r w:rsidRPr="00A377B9">
        <w:rPr>
          <w:noProof/>
          <w:sz w:val="36"/>
        </w:rPr>
        <w:t>Veilig thuis in een financieel gezond Mechelen</w:t>
      </w:r>
    </w:p>
    <w:p w14:paraId="57830A91" w14:textId="77777777" w:rsidR="0073400F" w:rsidRDefault="0073400F">
      <w:pPr>
        <w:rPr>
          <w:rFonts w:ascii="HelveticaNeueLT Std Cn" w:hAnsi="HelveticaNeueLT Std Cn"/>
          <w:b/>
          <w:color w:val="FBBC23"/>
          <w:sz w:val="40"/>
          <w:szCs w:val="40"/>
        </w:rPr>
      </w:pPr>
    </w:p>
    <w:p w14:paraId="59394413" w14:textId="23172BD1" w:rsidR="004E025E" w:rsidRPr="00B7661E" w:rsidRDefault="00A377B9" w:rsidP="00B7661E">
      <w:pPr>
        <w:pStyle w:val="N-VAinhoudstabel"/>
      </w:pPr>
      <w:r>
        <w:t>De feiten</w:t>
      </w:r>
      <w:r w:rsidR="00F553CE" w:rsidRPr="00B7661E">
        <w:tab/>
        <w:t>1</w:t>
      </w:r>
    </w:p>
    <w:p w14:paraId="04F58039" w14:textId="449324CE" w:rsidR="00F553CE" w:rsidRPr="00B7661E" w:rsidRDefault="00664143" w:rsidP="00B7661E">
      <w:pPr>
        <w:pStyle w:val="N-VAinhoudstabel"/>
      </w:pPr>
      <w:r>
        <w:t>Vorige legislatuur</w:t>
      </w:r>
      <w:r w:rsidR="008E5D38">
        <w:tab/>
        <w:t>3</w:t>
      </w:r>
    </w:p>
    <w:p w14:paraId="5944ACB9" w14:textId="34E107A6" w:rsidR="00F553CE" w:rsidRPr="00B7661E" w:rsidRDefault="0027714F" w:rsidP="00B7661E">
      <w:pPr>
        <w:pStyle w:val="N-VAinhoudstabel"/>
      </w:pPr>
      <w:r>
        <w:t>De schuld moet naar beneden</w:t>
      </w:r>
      <w:r w:rsidR="008E5D38">
        <w:tab/>
        <w:t>4</w:t>
      </w:r>
    </w:p>
    <w:p w14:paraId="3AA320E1" w14:textId="20B8B7F9" w:rsidR="00A377B9" w:rsidRPr="00670AD3" w:rsidRDefault="00A377B9" w:rsidP="0073400F">
      <w:pPr>
        <w:pStyle w:val="N-VASubtitel"/>
        <w:rPr>
          <w:sz w:val="24"/>
          <w:szCs w:val="24"/>
        </w:rPr>
      </w:pPr>
    </w:p>
    <w:p w14:paraId="74C7BDD1" w14:textId="77777777" w:rsidR="0096482F" w:rsidRDefault="00A377B9" w:rsidP="0073400F">
      <w:pPr>
        <w:pStyle w:val="N-VASubtitel"/>
        <w:rPr>
          <w:rFonts w:ascii="Book Antiqua" w:hAnsi="Book Antiqua"/>
          <w:color w:val="000000" w:themeColor="text1"/>
          <w:sz w:val="24"/>
          <w:szCs w:val="24"/>
        </w:rPr>
      </w:pPr>
      <w:r w:rsidRPr="0096482F">
        <w:rPr>
          <w:rFonts w:ascii="Book Antiqua" w:hAnsi="Book Antiqua"/>
          <w:color w:val="000000" w:themeColor="text1"/>
          <w:sz w:val="24"/>
          <w:szCs w:val="24"/>
        </w:rPr>
        <w:t xml:space="preserve">De onmiskenbare vooruitgang die Mechelen de jongste jaren heeft gekend, kwam er niet zomaar. De investeringen waren broodnodig. </w:t>
      </w:r>
    </w:p>
    <w:p w14:paraId="1A81E3B7" w14:textId="0405FD01" w:rsidR="00A377B9" w:rsidRPr="0096482F" w:rsidRDefault="00A377B9" w:rsidP="0073400F">
      <w:pPr>
        <w:pStyle w:val="N-VASubtitel"/>
      </w:pPr>
      <w:r w:rsidRPr="0096482F">
        <w:rPr>
          <w:rFonts w:ascii="Book Antiqua" w:hAnsi="Book Antiqua"/>
          <w:color w:val="000000" w:themeColor="text1"/>
          <w:sz w:val="24"/>
          <w:szCs w:val="24"/>
        </w:rPr>
        <w:t xml:space="preserve">Maar nu is het de hoogste tijd om ook financieel orde op zaken te stellen. </w:t>
      </w:r>
      <w:r w:rsidRPr="0096482F">
        <w:t xml:space="preserve"> </w:t>
      </w:r>
    </w:p>
    <w:p w14:paraId="03777290" w14:textId="77777777" w:rsidR="00A377B9" w:rsidRPr="00670AD3" w:rsidRDefault="00A377B9" w:rsidP="0073400F">
      <w:pPr>
        <w:pStyle w:val="N-VASubtitel"/>
        <w:rPr>
          <w:sz w:val="24"/>
          <w:szCs w:val="24"/>
        </w:rPr>
      </w:pPr>
    </w:p>
    <w:p w14:paraId="1F313241" w14:textId="7BDF1E7B" w:rsidR="0073400F" w:rsidRDefault="00A377B9" w:rsidP="0073400F">
      <w:pPr>
        <w:pStyle w:val="N-VASubtitel"/>
      </w:pPr>
      <w:r>
        <w:t>De feiten</w:t>
      </w:r>
    </w:p>
    <w:p w14:paraId="3D61AB46" w14:textId="77777777" w:rsidR="0073400F" w:rsidRDefault="0073400F">
      <w:pPr>
        <w:rPr>
          <w:rFonts w:ascii="Minion Pro" w:hAnsi="Minion Pro"/>
          <w:color w:val="000000" w:themeColor="text1"/>
          <w:sz w:val="24"/>
          <w:szCs w:val="24"/>
        </w:rPr>
      </w:pPr>
    </w:p>
    <w:p w14:paraId="5A530DAC" w14:textId="77777777" w:rsidR="00A377B9" w:rsidRDefault="00A377B9" w:rsidP="00A377B9">
      <w:pPr>
        <w:pStyle w:val="N-VADoorlopendetekst"/>
        <w:numPr>
          <w:ilvl w:val="0"/>
          <w:numId w:val="1"/>
        </w:numPr>
      </w:pPr>
      <w:r w:rsidRPr="00A377B9">
        <w:t>Sinds 2014 draait de stad Mechelen jaar na jaar met tekort. Enkel in 2015 stonden de cijfers één keer in het groen. Het laatst bekende volledige resultaat uit 2017 toont een tekort van nagenoeg 9 miljoen euro</w:t>
      </w:r>
      <w:r>
        <w:t>. Da</w:t>
      </w:r>
      <w:r w:rsidRPr="00A377B9">
        <w:t xml:space="preserve">t zorgt ervoor dat de stadsschuld verder toeneemt, in plaats van afneemt. </w:t>
      </w:r>
    </w:p>
    <w:p w14:paraId="38399A44" w14:textId="5F58D7A5" w:rsidR="0096482F" w:rsidRDefault="00A377B9" w:rsidP="00A377B9">
      <w:pPr>
        <w:pStyle w:val="N-VADoorlopendetekst"/>
        <w:ind w:left="720"/>
      </w:pPr>
      <w:r w:rsidRPr="00A377B9">
        <w:t xml:space="preserve">Mechelen gaat gebukt onder een aanzienlijke schuldenlast. </w:t>
      </w:r>
      <w:r w:rsidRPr="0096482F">
        <w:rPr>
          <w:b/>
        </w:rPr>
        <w:t xml:space="preserve">Anno 2018 bedraagt de schuldfactuur 3.500 euro per </w:t>
      </w:r>
      <w:proofErr w:type="spellStart"/>
      <w:r w:rsidRPr="0096482F">
        <w:rPr>
          <w:b/>
        </w:rPr>
        <w:t>Mechelaar</w:t>
      </w:r>
      <w:proofErr w:type="spellEnd"/>
      <w:r w:rsidRPr="00A377B9">
        <w:t xml:space="preserve">, en geen 3.000 euro zoals </w:t>
      </w:r>
      <w:r w:rsidR="0044678E">
        <w:t>de Stadslijst</w:t>
      </w:r>
      <w:r w:rsidRPr="00A377B9">
        <w:t xml:space="preserve"> altijd zegt.</w:t>
      </w:r>
      <w:r>
        <w:t xml:space="preserve"> </w:t>
      </w:r>
    </w:p>
    <w:p w14:paraId="2E0C6D08" w14:textId="2DC9F7F1" w:rsidR="0096482F" w:rsidRDefault="00A377B9" w:rsidP="00A377B9">
      <w:pPr>
        <w:pStyle w:val="N-VADoorlopendetekst"/>
        <w:ind w:left="720"/>
      </w:pPr>
      <w:r>
        <w:t>Een stuk van de schuld zit in de ‘</w:t>
      </w:r>
      <w:proofErr w:type="spellStart"/>
      <w:r>
        <w:t>bulletleningen</w:t>
      </w:r>
      <w:proofErr w:type="spellEnd"/>
      <w:r>
        <w:t>'</w:t>
      </w:r>
      <w:r w:rsidRPr="00A377B9">
        <w:t>, die door een boekhoudkundige eigenaardigheid niet moeten worden opgenomen in</w:t>
      </w:r>
      <w:r>
        <w:t xml:space="preserve"> de begroting. Maar</w:t>
      </w:r>
      <w:r w:rsidRPr="00A377B9">
        <w:t xml:space="preserve"> </w:t>
      </w:r>
      <w:r>
        <w:t>het zijn wel d</w:t>
      </w:r>
      <w:r w:rsidRPr="00A377B9">
        <w:t>egelijk schuld</w:t>
      </w:r>
      <w:r>
        <w:t>en</w:t>
      </w:r>
      <w:r w:rsidRPr="00A377B9">
        <w:t xml:space="preserve"> en </w:t>
      </w:r>
      <w:r>
        <w:t xml:space="preserve">ze houden </w:t>
      </w:r>
      <w:r w:rsidRPr="00A377B9">
        <w:t xml:space="preserve">een financieel risico in. </w:t>
      </w:r>
    </w:p>
    <w:p w14:paraId="37438853" w14:textId="77777777" w:rsidR="0096482F" w:rsidRDefault="0096482F">
      <w:pPr>
        <w:rPr>
          <w:rFonts w:ascii="Book Antiqua" w:hAnsi="Book Antiqua"/>
          <w:color w:val="000000" w:themeColor="text1"/>
          <w:sz w:val="24"/>
          <w:szCs w:val="24"/>
        </w:rPr>
      </w:pPr>
      <w:r>
        <w:br w:type="page"/>
      </w:r>
    </w:p>
    <w:p w14:paraId="443895AC" w14:textId="77777777" w:rsidR="00A377B9" w:rsidRDefault="00A377B9" w:rsidP="00A377B9">
      <w:pPr>
        <w:pStyle w:val="N-VADoorlopendetekst"/>
        <w:ind w:left="720"/>
      </w:pPr>
    </w:p>
    <w:p w14:paraId="57012739" w14:textId="122B08CC" w:rsidR="00A377B9" w:rsidRDefault="00A377B9" w:rsidP="00A377B9">
      <w:pPr>
        <w:pStyle w:val="Lijstalinea"/>
        <w:numPr>
          <w:ilvl w:val="0"/>
          <w:numId w:val="1"/>
        </w:numPr>
        <w:rPr>
          <w:rFonts w:ascii="Book Antiqua" w:hAnsi="Book Antiqua"/>
          <w:color w:val="000000" w:themeColor="text1"/>
          <w:sz w:val="24"/>
          <w:szCs w:val="24"/>
        </w:rPr>
      </w:pPr>
      <w:r w:rsidRPr="00A377B9">
        <w:rPr>
          <w:rFonts w:ascii="Book Antiqua" w:hAnsi="Book Antiqua"/>
          <w:color w:val="000000" w:themeColor="text1"/>
          <w:sz w:val="24"/>
          <w:szCs w:val="24"/>
        </w:rPr>
        <w:t xml:space="preserve">Een eenvoudige vergelijking leert ons </w:t>
      </w:r>
      <w:r>
        <w:rPr>
          <w:rFonts w:ascii="Book Antiqua" w:hAnsi="Book Antiqua"/>
          <w:color w:val="000000" w:themeColor="text1"/>
          <w:sz w:val="24"/>
          <w:szCs w:val="24"/>
        </w:rPr>
        <w:t xml:space="preserve">dat </w:t>
      </w:r>
      <w:r w:rsidRPr="0096482F">
        <w:rPr>
          <w:rFonts w:ascii="Book Antiqua" w:hAnsi="Book Antiqua"/>
          <w:b/>
          <w:color w:val="000000" w:themeColor="text1"/>
          <w:sz w:val="24"/>
          <w:szCs w:val="24"/>
        </w:rPr>
        <w:t>Mechelen de grootste schuldenlast heeft van alle Vlaamse centrumsteden.</w:t>
      </w:r>
      <w:r w:rsidRPr="00A377B9">
        <w:rPr>
          <w:rFonts w:ascii="Book Antiqua" w:hAnsi="Book Antiqua"/>
          <w:color w:val="000000" w:themeColor="text1"/>
          <w:sz w:val="24"/>
          <w:szCs w:val="24"/>
        </w:rPr>
        <w:t xml:space="preserve"> In 2018 bedraagt de Mechelse schuld het dubbel</w:t>
      </w:r>
      <w:r>
        <w:rPr>
          <w:rFonts w:ascii="Book Antiqua" w:hAnsi="Book Antiqua"/>
          <w:color w:val="000000" w:themeColor="text1"/>
          <w:sz w:val="24"/>
          <w:szCs w:val="24"/>
        </w:rPr>
        <w:t>e</w:t>
      </w:r>
      <w:r w:rsidRPr="00A377B9">
        <w:rPr>
          <w:rFonts w:ascii="Book Antiqua" w:hAnsi="Book Antiqua"/>
          <w:color w:val="000000" w:themeColor="text1"/>
          <w:sz w:val="24"/>
          <w:szCs w:val="24"/>
        </w:rPr>
        <w:t xml:space="preserve"> van Antwerpen en nagenoeg drie keer die van Aalst. De stad met de </w:t>
      </w:r>
      <w:r>
        <w:rPr>
          <w:rFonts w:ascii="Book Antiqua" w:hAnsi="Book Antiqua"/>
          <w:color w:val="000000" w:themeColor="text1"/>
          <w:sz w:val="24"/>
          <w:szCs w:val="24"/>
        </w:rPr>
        <w:t>op Mechelen na grootste schuld – de stad</w:t>
      </w:r>
      <w:r w:rsidRPr="00A377B9">
        <w:rPr>
          <w:rFonts w:ascii="Book Antiqua" w:hAnsi="Book Antiqua"/>
          <w:color w:val="000000" w:themeColor="text1"/>
          <w:sz w:val="24"/>
          <w:szCs w:val="24"/>
        </w:rPr>
        <w:t xml:space="preserve"> Gent </w:t>
      </w:r>
      <w:r>
        <w:rPr>
          <w:rFonts w:ascii="Book Antiqua" w:hAnsi="Book Antiqua"/>
          <w:color w:val="000000" w:themeColor="text1"/>
          <w:sz w:val="24"/>
          <w:szCs w:val="24"/>
        </w:rPr>
        <w:t>– heeft bijna 20 procent minder schulden</w:t>
      </w:r>
      <w:r w:rsidRPr="00A377B9">
        <w:rPr>
          <w:rFonts w:ascii="Book Antiqua" w:hAnsi="Book Antiqua"/>
          <w:color w:val="000000" w:themeColor="text1"/>
          <w:sz w:val="24"/>
          <w:szCs w:val="24"/>
        </w:rPr>
        <w:t xml:space="preserve"> dan Mechelen.</w:t>
      </w:r>
    </w:p>
    <w:tbl>
      <w:tblPr>
        <w:tblW w:w="6119" w:type="dxa"/>
        <w:tblInd w:w="2052" w:type="dxa"/>
        <w:tblCellMar>
          <w:left w:w="70" w:type="dxa"/>
          <w:right w:w="70" w:type="dxa"/>
        </w:tblCellMar>
        <w:tblLook w:val="04A0" w:firstRow="1" w:lastRow="0" w:firstColumn="1" w:lastColumn="0" w:noHBand="0" w:noVBand="1"/>
      </w:tblPr>
      <w:tblGrid>
        <w:gridCol w:w="2046"/>
        <w:gridCol w:w="2306"/>
        <w:gridCol w:w="1767"/>
      </w:tblGrid>
      <w:tr w:rsidR="00A377B9" w:rsidRPr="00BF20A5" w14:paraId="392702CD" w14:textId="77777777" w:rsidTr="00670AD3">
        <w:trPr>
          <w:trHeight w:val="264"/>
        </w:trPr>
        <w:tc>
          <w:tcPr>
            <w:tcW w:w="2046" w:type="dxa"/>
            <w:tcBorders>
              <w:top w:val="single" w:sz="4" w:space="0" w:color="FFC000"/>
              <w:left w:val="single" w:sz="4" w:space="0" w:color="FFC000"/>
              <w:bottom w:val="nil"/>
              <w:right w:val="nil"/>
            </w:tcBorders>
            <w:shd w:val="clear" w:color="auto" w:fill="FFC000"/>
            <w:noWrap/>
            <w:vAlign w:val="bottom"/>
            <w:hideMark/>
          </w:tcPr>
          <w:p w14:paraId="062EB4EA" w14:textId="77777777" w:rsidR="00A377B9" w:rsidRPr="00BF20A5" w:rsidRDefault="00A377B9" w:rsidP="00EE443A">
            <w:pPr>
              <w:spacing w:after="0" w:line="240" w:lineRule="auto"/>
              <w:rPr>
                <w:rFonts w:ascii="HelveticaNeueLT Std Cn" w:eastAsia="Calibri" w:hAnsi="HelveticaNeueLT Std Cn" w:cs="Calibri"/>
                <w:b/>
                <w:bCs/>
                <w:color w:val="FFFFFF"/>
                <w:lang w:eastAsia="nl-BE"/>
              </w:rPr>
            </w:pPr>
            <w:r w:rsidRPr="00BF20A5">
              <w:rPr>
                <w:rFonts w:ascii="HelveticaNeueLT Std Cn" w:eastAsia="Calibri" w:hAnsi="HelveticaNeueLT Std Cn" w:cs="Calibri"/>
                <w:b/>
                <w:bCs/>
                <w:color w:val="FFFFFF"/>
                <w:lang w:eastAsia="nl-BE"/>
              </w:rPr>
              <w:t>Stad</w:t>
            </w:r>
          </w:p>
        </w:tc>
        <w:tc>
          <w:tcPr>
            <w:tcW w:w="2306" w:type="dxa"/>
            <w:tcBorders>
              <w:top w:val="single" w:sz="4" w:space="0" w:color="FFC000"/>
              <w:left w:val="nil"/>
              <w:bottom w:val="nil"/>
              <w:right w:val="nil"/>
            </w:tcBorders>
            <w:shd w:val="clear" w:color="auto" w:fill="FFC000"/>
            <w:noWrap/>
            <w:vAlign w:val="bottom"/>
            <w:hideMark/>
          </w:tcPr>
          <w:p w14:paraId="48DF2D94" w14:textId="77777777" w:rsidR="00A377B9" w:rsidRPr="00BF20A5" w:rsidRDefault="00A377B9" w:rsidP="00A377B9">
            <w:pPr>
              <w:spacing w:after="0" w:line="240" w:lineRule="auto"/>
              <w:jc w:val="right"/>
              <w:rPr>
                <w:rFonts w:ascii="HelveticaNeueLT Std Cn" w:eastAsia="Calibri" w:hAnsi="HelveticaNeueLT Std Cn" w:cs="Calibri"/>
                <w:b/>
                <w:bCs/>
                <w:color w:val="FFFFFF"/>
                <w:lang w:eastAsia="nl-BE"/>
              </w:rPr>
            </w:pPr>
            <w:r w:rsidRPr="00BF20A5">
              <w:rPr>
                <w:rFonts w:ascii="HelveticaNeueLT Std Cn" w:eastAsia="Calibri" w:hAnsi="HelveticaNeueLT Std Cn" w:cs="Calibri"/>
                <w:b/>
                <w:bCs/>
                <w:color w:val="FFFFFF"/>
                <w:lang w:eastAsia="nl-BE"/>
              </w:rPr>
              <w:t>Schuld/inwoner 2018</w:t>
            </w:r>
          </w:p>
        </w:tc>
        <w:tc>
          <w:tcPr>
            <w:tcW w:w="1767" w:type="dxa"/>
            <w:tcBorders>
              <w:top w:val="single" w:sz="4" w:space="0" w:color="FFC000"/>
              <w:left w:val="nil"/>
              <w:bottom w:val="nil"/>
              <w:right w:val="single" w:sz="4" w:space="0" w:color="FFC000"/>
            </w:tcBorders>
            <w:shd w:val="clear" w:color="auto" w:fill="FFC000"/>
            <w:noWrap/>
            <w:vAlign w:val="bottom"/>
            <w:hideMark/>
          </w:tcPr>
          <w:p w14:paraId="34E465ED" w14:textId="77777777" w:rsidR="00A377B9" w:rsidRPr="00BF20A5" w:rsidRDefault="00A377B9" w:rsidP="00A377B9">
            <w:pPr>
              <w:spacing w:after="0" w:line="240" w:lineRule="auto"/>
              <w:jc w:val="right"/>
              <w:rPr>
                <w:rFonts w:ascii="HelveticaNeueLT Std Cn" w:eastAsia="Calibri" w:hAnsi="HelveticaNeueLT Std Cn" w:cs="Calibri"/>
                <w:b/>
                <w:bCs/>
                <w:color w:val="FFFFFF"/>
                <w:lang w:eastAsia="nl-BE"/>
              </w:rPr>
            </w:pPr>
            <w:r w:rsidRPr="00BF20A5">
              <w:rPr>
                <w:rFonts w:ascii="HelveticaNeueLT Std Cn" w:eastAsia="Calibri" w:hAnsi="HelveticaNeueLT Std Cn" w:cs="Calibri"/>
                <w:b/>
                <w:bCs/>
                <w:color w:val="FFFFFF"/>
                <w:lang w:eastAsia="nl-BE"/>
              </w:rPr>
              <w:t>Index</w:t>
            </w:r>
          </w:p>
        </w:tc>
      </w:tr>
      <w:tr w:rsidR="00A377B9" w:rsidRPr="00BF20A5" w14:paraId="2471C6DC" w14:textId="77777777" w:rsidTr="00670AD3">
        <w:trPr>
          <w:trHeight w:val="264"/>
        </w:trPr>
        <w:tc>
          <w:tcPr>
            <w:tcW w:w="2046" w:type="dxa"/>
            <w:tcBorders>
              <w:top w:val="single" w:sz="4" w:space="0" w:color="FFC000"/>
              <w:left w:val="single" w:sz="4" w:space="0" w:color="FFC000"/>
              <w:bottom w:val="nil"/>
              <w:right w:val="nil"/>
            </w:tcBorders>
            <w:noWrap/>
            <w:vAlign w:val="bottom"/>
            <w:hideMark/>
          </w:tcPr>
          <w:p w14:paraId="28A333D0" w14:textId="77777777" w:rsidR="00A377B9" w:rsidRPr="00BF20A5" w:rsidRDefault="00A377B9" w:rsidP="00EE443A">
            <w:pPr>
              <w:spacing w:after="0" w:line="240" w:lineRule="auto"/>
              <w:rPr>
                <w:rFonts w:ascii="HelveticaNeueLT Std Cn" w:eastAsia="Calibri" w:hAnsi="HelveticaNeueLT Std Cn" w:cs="Calibri"/>
                <w:b/>
                <w:color w:val="000000"/>
                <w:lang w:eastAsia="nl-BE"/>
              </w:rPr>
            </w:pPr>
            <w:r w:rsidRPr="00BF20A5">
              <w:rPr>
                <w:rFonts w:ascii="HelveticaNeueLT Std Cn" w:eastAsia="Calibri" w:hAnsi="HelveticaNeueLT Std Cn" w:cs="Calibri"/>
                <w:b/>
                <w:color w:val="000000"/>
                <w:lang w:eastAsia="nl-BE"/>
              </w:rPr>
              <w:t>1. Mechelen</w:t>
            </w:r>
          </w:p>
        </w:tc>
        <w:tc>
          <w:tcPr>
            <w:tcW w:w="2306" w:type="dxa"/>
            <w:tcBorders>
              <w:top w:val="single" w:sz="4" w:space="0" w:color="FFC000"/>
              <w:left w:val="nil"/>
              <w:bottom w:val="nil"/>
              <w:right w:val="nil"/>
            </w:tcBorders>
            <w:noWrap/>
            <w:vAlign w:val="bottom"/>
            <w:hideMark/>
          </w:tcPr>
          <w:p w14:paraId="18077507" w14:textId="77777777" w:rsidR="00A377B9" w:rsidRPr="00BF20A5" w:rsidRDefault="00A377B9" w:rsidP="00EE443A">
            <w:pPr>
              <w:spacing w:after="0" w:line="240" w:lineRule="auto"/>
              <w:jc w:val="right"/>
              <w:rPr>
                <w:rFonts w:ascii="HelveticaNeueLT Std Cn" w:eastAsia="Calibri" w:hAnsi="HelveticaNeueLT Std Cn" w:cs="Calibri"/>
                <w:b/>
                <w:color w:val="000000"/>
                <w:lang w:eastAsia="nl-BE"/>
              </w:rPr>
            </w:pPr>
            <w:r w:rsidRPr="00BF20A5">
              <w:rPr>
                <w:rFonts w:ascii="HelveticaNeueLT Std Cn" w:eastAsia="Calibri" w:hAnsi="HelveticaNeueLT Std Cn" w:cs="Calibri"/>
                <w:b/>
                <w:color w:val="000000"/>
                <w:lang w:eastAsia="nl-BE"/>
              </w:rPr>
              <w:t>€ 3 491,77</w:t>
            </w:r>
          </w:p>
        </w:tc>
        <w:tc>
          <w:tcPr>
            <w:tcW w:w="1767" w:type="dxa"/>
            <w:tcBorders>
              <w:top w:val="single" w:sz="4" w:space="0" w:color="FFC000"/>
              <w:left w:val="nil"/>
              <w:bottom w:val="nil"/>
              <w:right w:val="single" w:sz="4" w:space="0" w:color="FFC000"/>
            </w:tcBorders>
            <w:noWrap/>
            <w:vAlign w:val="bottom"/>
            <w:hideMark/>
          </w:tcPr>
          <w:p w14:paraId="71214570" w14:textId="77777777" w:rsidR="00A377B9" w:rsidRPr="00BF20A5" w:rsidRDefault="00A377B9" w:rsidP="00EE443A">
            <w:pPr>
              <w:spacing w:after="0" w:line="240" w:lineRule="auto"/>
              <w:jc w:val="right"/>
              <w:rPr>
                <w:rFonts w:ascii="HelveticaNeueLT Std Cn" w:eastAsia="Calibri" w:hAnsi="HelveticaNeueLT Std Cn" w:cs="Calibri"/>
                <w:b/>
                <w:color w:val="000000"/>
                <w:lang w:eastAsia="nl-BE"/>
              </w:rPr>
            </w:pPr>
            <w:r w:rsidRPr="00BF20A5">
              <w:rPr>
                <w:rFonts w:ascii="HelveticaNeueLT Std Cn" w:eastAsia="Calibri" w:hAnsi="HelveticaNeueLT Std Cn" w:cs="Calibri"/>
                <w:b/>
                <w:color w:val="000000"/>
                <w:lang w:eastAsia="nl-BE"/>
              </w:rPr>
              <w:t>100,00</w:t>
            </w:r>
          </w:p>
        </w:tc>
      </w:tr>
      <w:tr w:rsidR="00A377B9" w:rsidRPr="00BF20A5" w14:paraId="2E288E51" w14:textId="77777777" w:rsidTr="00670AD3">
        <w:trPr>
          <w:trHeight w:val="264"/>
        </w:trPr>
        <w:tc>
          <w:tcPr>
            <w:tcW w:w="2046" w:type="dxa"/>
            <w:tcBorders>
              <w:top w:val="single" w:sz="4" w:space="0" w:color="FFC000"/>
              <w:left w:val="single" w:sz="4" w:space="0" w:color="FFC000"/>
              <w:bottom w:val="nil"/>
              <w:right w:val="nil"/>
            </w:tcBorders>
            <w:noWrap/>
            <w:vAlign w:val="bottom"/>
            <w:hideMark/>
          </w:tcPr>
          <w:p w14:paraId="3BE6B26D" w14:textId="77777777" w:rsidR="00A377B9" w:rsidRPr="00BF20A5" w:rsidRDefault="00A377B9" w:rsidP="00EE443A">
            <w:pPr>
              <w:spacing w:after="0" w:line="240" w:lineRule="auto"/>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2. Gent</w:t>
            </w:r>
          </w:p>
        </w:tc>
        <w:tc>
          <w:tcPr>
            <w:tcW w:w="2306" w:type="dxa"/>
            <w:tcBorders>
              <w:top w:val="single" w:sz="4" w:space="0" w:color="FFC000"/>
              <w:left w:val="nil"/>
              <w:bottom w:val="nil"/>
              <w:right w:val="nil"/>
            </w:tcBorders>
            <w:noWrap/>
            <w:vAlign w:val="bottom"/>
            <w:hideMark/>
          </w:tcPr>
          <w:p w14:paraId="1C57C489"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€ 2 841,94</w:t>
            </w:r>
          </w:p>
        </w:tc>
        <w:tc>
          <w:tcPr>
            <w:tcW w:w="1767" w:type="dxa"/>
            <w:tcBorders>
              <w:top w:val="single" w:sz="4" w:space="0" w:color="FFC000"/>
              <w:left w:val="nil"/>
              <w:bottom w:val="nil"/>
              <w:right w:val="single" w:sz="4" w:space="0" w:color="FFC000"/>
            </w:tcBorders>
            <w:noWrap/>
            <w:vAlign w:val="bottom"/>
            <w:hideMark/>
          </w:tcPr>
          <w:p w14:paraId="6E1B7370"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81,39</w:t>
            </w:r>
          </w:p>
        </w:tc>
      </w:tr>
      <w:tr w:rsidR="00A377B9" w:rsidRPr="00BF20A5" w14:paraId="6B3D797E" w14:textId="77777777" w:rsidTr="00670AD3">
        <w:trPr>
          <w:trHeight w:val="264"/>
        </w:trPr>
        <w:tc>
          <w:tcPr>
            <w:tcW w:w="2046" w:type="dxa"/>
            <w:tcBorders>
              <w:top w:val="single" w:sz="4" w:space="0" w:color="FFC000"/>
              <w:left w:val="single" w:sz="4" w:space="0" w:color="FFC000"/>
              <w:bottom w:val="nil"/>
              <w:right w:val="nil"/>
            </w:tcBorders>
            <w:noWrap/>
            <w:vAlign w:val="bottom"/>
            <w:hideMark/>
          </w:tcPr>
          <w:p w14:paraId="64E8925D" w14:textId="77777777" w:rsidR="00A377B9" w:rsidRPr="00BF20A5" w:rsidRDefault="00A377B9" w:rsidP="00EE443A">
            <w:pPr>
              <w:spacing w:after="0" w:line="240" w:lineRule="auto"/>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3. Kortrijk</w:t>
            </w:r>
          </w:p>
        </w:tc>
        <w:tc>
          <w:tcPr>
            <w:tcW w:w="2306" w:type="dxa"/>
            <w:tcBorders>
              <w:top w:val="single" w:sz="4" w:space="0" w:color="FFC000"/>
              <w:left w:val="nil"/>
              <w:bottom w:val="nil"/>
              <w:right w:val="nil"/>
            </w:tcBorders>
            <w:noWrap/>
            <w:vAlign w:val="bottom"/>
            <w:hideMark/>
          </w:tcPr>
          <w:p w14:paraId="4943EAED"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€ 2 734,94</w:t>
            </w:r>
          </w:p>
        </w:tc>
        <w:tc>
          <w:tcPr>
            <w:tcW w:w="1767" w:type="dxa"/>
            <w:tcBorders>
              <w:top w:val="single" w:sz="4" w:space="0" w:color="FFC000"/>
              <w:left w:val="nil"/>
              <w:bottom w:val="nil"/>
              <w:right w:val="single" w:sz="4" w:space="0" w:color="FFC000"/>
            </w:tcBorders>
            <w:noWrap/>
            <w:vAlign w:val="bottom"/>
            <w:hideMark/>
          </w:tcPr>
          <w:p w14:paraId="4D986A93"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78,33</w:t>
            </w:r>
          </w:p>
        </w:tc>
      </w:tr>
      <w:tr w:rsidR="00A377B9" w:rsidRPr="00BF20A5" w14:paraId="56008CCC" w14:textId="77777777" w:rsidTr="00670AD3">
        <w:trPr>
          <w:trHeight w:val="264"/>
        </w:trPr>
        <w:tc>
          <w:tcPr>
            <w:tcW w:w="2046" w:type="dxa"/>
            <w:tcBorders>
              <w:top w:val="single" w:sz="4" w:space="0" w:color="FFC000"/>
              <w:left w:val="single" w:sz="4" w:space="0" w:color="FFC000"/>
              <w:bottom w:val="nil"/>
              <w:right w:val="nil"/>
            </w:tcBorders>
            <w:noWrap/>
            <w:vAlign w:val="bottom"/>
            <w:hideMark/>
          </w:tcPr>
          <w:p w14:paraId="306ACCC9" w14:textId="77777777" w:rsidR="00A377B9" w:rsidRPr="00BF20A5" w:rsidRDefault="00A377B9" w:rsidP="00EE443A">
            <w:pPr>
              <w:spacing w:after="0" w:line="240" w:lineRule="auto"/>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4. Genk</w:t>
            </w:r>
          </w:p>
        </w:tc>
        <w:tc>
          <w:tcPr>
            <w:tcW w:w="2306" w:type="dxa"/>
            <w:tcBorders>
              <w:top w:val="single" w:sz="4" w:space="0" w:color="FFC000"/>
              <w:left w:val="nil"/>
              <w:bottom w:val="nil"/>
              <w:right w:val="nil"/>
            </w:tcBorders>
            <w:noWrap/>
            <w:vAlign w:val="bottom"/>
            <w:hideMark/>
          </w:tcPr>
          <w:p w14:paraId="0C3F1829"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€ 2 151,51</w:t>
            </w:r>
          </w:p>
        </w:tc>
        <w:tc>
          <w:tcPr>
            <w:tcW w:w="1767" w:type="dxa"/>
            <w:tcBorders>
              <w:top w:val="single" w:sz="4" w:space="0" w:color="FFC000"/>
              <w:left w:val="nil"/>
              <w:bottom w:val="nil"/>
              <w:right w:val="single" w:sz="4" w:space="0" w:color="FFC000"/>
            </w:tcBorders>
            <w:noWrap/>
            <w:vAlign w:val="bottom"/>
            <w:hideMark/>
          </w:tcPr>
          <w:p w14:paraId="6B8E87E7"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61,62</w:t>
            </w:r>
          </w:p>
        </w:tc>
      </w:tr>
      <w:tr w:rsidR="00A377B9" w:rsidRPr="00BF20A5" w14:paraId="701828BA" w14:textId="77777777" w:rsidTr="00670AD3">
        <w:trPr>
          <w:trHeight w:val="264"/>
        </w:trPr>
        <w:tc>
          <w:tcPr>
            <w:tcW w:w="2046" w:type="dxa"/>
            <w:tcBorders>
              <w:top w:val="single" w:sz="4" w:space="0" w:color="FFC000"/>
              <w:left w:val="single" w:sz="4" w:space="0" w:color="FFC000"/>
              <w:bottom w:val="nil"/>
              <w:right w:val="nil"/>
            </w:tcBorders>
            <w:noWrap/>
            <w:vAlign w:val="bottom"/>
            <w:hideMark/>
          </w:tcPr>
          <w:p w14:paraId="6E264CE4" w14:textId="77777777" w:rsidR="00A377B9" w:rsidRPr="00BF20A5" w:rsidRDefault="00A377B9" w:rsidP="00EE443A">
            <w:pPr>
              <w:spacing w:after="0" w:line="240" w:lineRule="auto"/>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5. Roeselare</w:t>
            </w:r>
          </w:p>
        </w:tc>
        <w:tc>
          <w:tcPr>
            <w:tcW w:w="2306" w:type="dxa"/>
            <w:tcBorders>
              <w:top w:val="single" w:sz="4" w:space="0" w:color="FFC000"/>
              <w:left w:val="nil"/>
              <w:bottom w:val="nil"/>
              <w:right w:val="nil"/>
            </w:tcBorders>
            <w:noWrap/>
            <w:vAlign w:val="bottom"/>
            <w:hideMark/>
          </w:tcPr>
          <w:p w14:paraId="4E60BE6A"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€ 1 972,47</w:t>
            </w:r>
          </w:p>
        </w:tc>
        <w:tc>
          <w:tcPr>
            <w:tcW w:w="1767" w:type="dxa"/>
            <w:tcBorders>
              <w:top w:val="single" w:sz="4" w:space="0" w:color="FFC000"/>
              <w:left w:val="nil"/>
              <w:bottom w:val="nil"/>
              <w:right w:val="single" w:sz="4" w:space="0" w:color="FFC000"/>
            </w:tcBorders>
            <w:noWrap/>
            <w:vAlign w:val="bottom"/>
            <w:hideMark/>
          </w:tcPr>
          <w:p w14:paraId="7075BE73"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56,49</w:t>
            </w:r>
          </w:p>
        </w:tc>
      </w:tr>
      <w:tr w:rsidR="00A377B9" w:rsidRPr="00BF20A5" w14:paraId="66B1B08F" w14:textId="77777777" w:rsidTr="00670AD3">
        <w:trPr>
          <w:trHeight w:val="264"/>
        </w:trPr>
        <w:tc>
          <w:tcPr>
            <w:tcW w:w="2046" w:type="dxa"/>
            <w:tcBorders>
              <w:top w:val="single" w:sz="4" w:space="0" w:color="FFC000"/>
              <w:left w:val="single" w:sz="4" w:space="0" w:color="FFC000"/>
              <w:bottom w:val="nil"/>
              <w:right w:val="nil"/>
            </w:tcBorders>
            <w:noWrap/>
            <w:vAlign w:val="bottom"/>
            <w:hideMark/>
          </w:tcPr>
          <w:p w14:paraId="69DF5796" w14:textId="77777777" w:rsidR="00A377B9" w:rsidRPr="00BF20A5" w:rsidRDefault="00A377B9" w:rsidP="00EE443A">
            <w:pPr>
              <w:spacing w:after="0" w:line="240" w:lineRule="auto"/>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6. Hasselt</w:t>
            </w:r>
          </w:p>
        </w:tc>
        <w:tc>
          <w:tcPr>
            <w:tcW w:w="2306" w:type="dxa"/>
            <w:tcBorders>
              <w:top w:val="single" w:sz="4" w:space="0" w:color="FFC000"/>
              <w:left w:val="nil"/>
              <w:bottom w:val="nil"/>
              <w:right w:val="nil"/>
            </w:tcBorders>
            <w:noWrap/>
            <w:vAlign w:val="bottom"/>
            <w:hideMark/>
          </w:tcPr>
          <w:p w14:paraId="3830049D"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€ 1 919,35</w:t>
            </w:r>
          </w:p>
        </w:tc>
        <w:tc>
          <w:tcPr>
            <w:tcW w:w="1767" w:type="dxa"/>
            <w:tcBorders>
              <w:top w:val="single" w:sz="4" w:space="0" w:color="FFC000"/>
              <w:left w:val="nil"/>
              <w:bottom w:val="nil"/>
              <w:right w:val="single" w:sz="4" w:space="0" w:color="FFC000"/>
            </w:tcBorders>
            <w:noWrap/>
            <w:vAlign w:val="bottom"/>
            <w:hideMark/>
          </w:tcPr>
          <w:p w14:paraId="252DBCD3"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54,97</w:t>
            </w:r>
          </w:p>
        </w:tc>
      </w:tr>
      <w:tr w:rsidR="00A377B9" w:rsidRPr="00BF20A5" w14:paraId="3924A36A" w14:textId="77777777" w:rsidTr="00670AD3">
        <w:trPr>
          <w:trHeight w:val="264"/>
        </w:trPr>
        <w:tc>
          <w:tcPr>
            <w:tcW w:w="2046" w:type="dxa"/>
            <w:tcBorders>
              <w:top w:val="single" w:sz="4" w:space="0" w:color="FFC000"/>
              <w:left w:val="single" w:sz="4" w:space="0" w:color="FFC000"/>
              <w:bottom w:val="nil"/>
              <w:right w:val="nil"/>
            </w:tcBorders>
            <w:noWrap/>
            <w:vAlign w:val="bottom"/>
            <w:hideMark/>
          </w:tcPr>
          <w:p w14:paraId="49CF49D8" w14:textId="77777777" w:rsidR="00A377B9" w:rsidRPr="00BF20A5" w:rsidRDefault="00A377B9" w:rsidP="00EE443A">
            <w:pPr>
              <w:spacing w:after="0" w:line="240" w:lineRule="auto"/>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7. Antwerpen</w:t>
            </w:r>
          </w:p>
        </w:tc>
        <w:tc>
          <w:tcPr>
            <w:tcW w:w="2306" w:type="dxa"/>
            <w:tcBorders>
              <w:top w:val="single" w:sz="4" w:space="0" w:color="FFC000"/>
              <w:left w:val="nil"/>
              <w:bottom w:val="nil"/>
              <w:right w:val="nil"/>
            </w:tcBorders>
            <w:noWrap/>
            <w:vAlign w:val="bottom"/>
            <w:hideMark/>
          </w:tcPr>
          <w:p w14:paraId="3050D2E3"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€ 1 812,41</w:t>
            </w:r>
          </w:p>
        </w:tc>
        <w:tc>
          <w:tcPr>
            <w:tcW w:w="1767" w:type="dxa"/>
            <w:tcBorders>
              <w:top w:val="single" w:sz="4" w:space="0" w:color="FFC000"/>
              <w:left w:val="nil"/>
              <w:bottom w:val="nil"/>
              <w:right w:val="single" w:sz="4" w:space="0" w:color="FFC000"/>
            </w:tcBorders>
            <w:noWrap/>
            <w:vAlign w:val="bottom"/>
            <w:hideMark/>
          </w:tcPr>
          <w:p w14:paraId="27B72C21"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51,91</w:t>
            </w:r>
          </w:p>
        </w:tc>
      </w:tr>
      <w:tr w:rsidR="00A377B9" w:rsidRPr="00BF20A5" w14:paraId="42E8E172" w14:textId="77777777" w:rsidTr="00670AD3">
        <w:trPr>
          <w:trHeight w:val="264"/>
        </w:trPr>
        <w:tc>
          <w:tcPr>
            <w:tcW w:w="2046" w:type="dxa"/>
            <w:tcBorders>
              <w:top w:val="single" w:sz="4" w:space="0" w:color="FFC000"/>
              <w:left w:val="single" w:sz="4" w:space="0" w:color="FFC000"/>
              <w:bottom w:val="nil"/>
              <w:right w:val="nil"/>
            </w:tcBorders>
            <w:noWrap/>
            <w:vAlign w:val="bottom"/>
            <w:hideMark/>
          </w:tcPr>
          <w:p w14:paraId="4D9DE08A" w14:textId="77777777" w:rsidR="00A377B9" w:rsidRPr="00BF20A5" w:rsidRDefault="00A377B9" w:rsidP="00EE443A">
            <w:pPr>
              <w:spacing w:after="0" w:line="240" w:lineRule="auto"/>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8. Leuven</w:t>
            </w:r>
          </w:p>
        </w:tc>
        <w:tc>
          <w:tcPr>
            <w:tcW w:w="2306" w:type="dxa"/>
            <w:tcBorders>
              <w:top w:val="single" w:sz="4" w:space="0" w:color="FFC000"/>
              <w:left w:val="nil"/>
              <w:bottom w:val="nil"/>
              <w:right w:val="nil"/>
            </w:tcBorders>
            <w:noWrap/>
            <w:vAlign w:val="bottom"/>
            <w:hideMark/>
          </w:tcPr>
          <w:p w14:paraId="3CBBEF77"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€ 1 764,74</w:t>
            </w:r>
          </w:p>
        </w:tc>
        <w:tc>
          <w:tcPr>
            <w:tcW w:w="1767" w:type="dxa"/>
            <w:tcBorders>
              <w:top w:val="single" w:sz="4" w:space="0" w:color="FFC000"/>
              <w:left w:val="nil"/>
              <w:bottom w:val="nil"/>
              <w:right w:val="single" w:sz="4" w:space="0" w:color="FFC000"/>
            </w:tcBorders>
            <w:noWrap/>
            <w:vAlign w:val="bottom"/>
            <w:hideMark/>
          </w:tcPr>
          <w:p w14:paraId="10DE8033"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50,54</w:t>
            </w:r>
          </w:p>
        </w:tc>
      </w:tr>
      <w:tr w:rsidR="00A377B9" w:rsidRPr="00BF20A5" w14:paraId="4B21EEE1" w14:textId="77777777" w:rsidTr="00670AD3">
        <w:trPr>
          <w:trHeight w:val="264"/>
        </w:trPr>
        <w:tc>
          <w:tcPr>
            <w:tcW w:w="2046" w:type="dxa"/>
            <w:tcBorders>
              <w:top w:val="single" w:sz="4" w:space="0" w:color="FFC000"/>
              <w:left w:val="single" w:sz="4" w:space="0" w:color="FFC000"/>
              <w:bottom w:val="nil"/>
              <w:right w:val="nil"/>
            </w:tcBorders>
            <w:noWrap/>
            <w:vAlign w:val="bottom"/>
            <w:hideMark/>
          </w:tcPr>
          <w:p w14:paraId="7B1D9FBD" w14:textId="77777777" w:rsidR="00A377B9" w:rsidRPr="00BF20A5" w:rsidRDefault="00A377B9" w:rsidP="00EE443A">
            <w:pPr>
              <w:spacing w:after="0" w:line="240" w:lineRule="auto"/>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9. Sint-Niklaas</w:t>
            </w:r>
          </w:p>
        </w:tc>
        <w:tc>
          <w:tcPr>
            <w:tcW w:w="2306" w:type="dxa"/>
            <w:tcBorders>
              <w:top w:val="single" w:sz="4" w:space="0" w:color="FFC000"/>
              <w:left w:val="nil"/>
              <w:bottom w:val="nil"/>
              <w:right w:val="nil"/>
            </w:tcBorders>
            <w:noWrap/>
            <w:vAlign w:val="bottom"/>
            <w:hideMark/>
          </w:tcPr>
          <w:p w14:paraId="3A8600E2"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€ 1 734,26</w:t>
            </w:r>
          </w:p>
        </w:tc>
        <w:tc>
          <w:tcPr>
            <w:tcW w:w="1767" w:type="dxa"/>
            <w:tcBorders>
              <w:top w:val="single" w:sz="4" w:space="0" w:color="FFC000"/>
              <w:left w:val="nil"/>
              <w:bottom w:val="nil"/>
              <w:right w:val="single" w:sz="4" w:space="0" w:color="FFC000"/>
            </w:tcBorders>
            <w:noWrap/>
            <w:vAlign w:val="bottom"/>
            <w:hideMark/>
          </w:tcPr>
          <w:p w14:paraId="41DCB53E"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49,67</w:t>
            </w:r>
          </w:p>
        </w:tc>
      </w:tr>
      <w:tr w:rsidR="00A377B9" w:rsidRPr="00BF20A5" w14:paraId="7633D27C" w14:textId="77777777" w:rsidTr="00670AD3">
        <w:trPr>
          <w:trHeight w:val="264"/>
        </w:trPr>
        <w:tc>
          <w:tcPr>
            <w:tcW w:w="2046" w:type="dxa"/>
            <w:tcBorders>
              <w:top w:val="single" w:sz="4" w:space="0" w:color="FFC000"/>
              <w:left w:val="single" w:sz="4" w:space="0" w:color="FFC000"/>
              <w:bottom w:val="single" w:sz="4" w:space="0" w:color="FFC000"/>
              <w:right w:val="nil"/>
            </w:tcBorders>
            <w:noWrap/>
            <w:vAlign w:val="bottom"/>
            <w:hideMark/>
          </w:tcPr>
          <w:p w14:paraId="6FD60208" w14:textId="77777777" w:rsidR="00A377B9" w:rsidRPr="00BF20A5" w:rsidRDefault="00A377B9" w:rsidP="00EE443A">
            <w:pPr>
              <w:spacing w:after="0" w:line="240" w:lineRule="auto"/>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10. Oostende</w:t>
            </w:r>
          </w:p>
        </w:tc>
        <w:tc>
          <w:tcPr>
            <w:tcW w:w="2306" w:type="dxa"/>
            <w:tcBorders>
              <w:top w:val="single" w:sz="4" w:space="0" w:color="FFC000"/>
              <w:left w:val="nil"/>
              <w:bottom w:val="single" w:sz="4" w:space="0" w:color="FFC000"/>
              <w:right w:val="nil"/>
            </w:tcBorders>
            <w:noWrap/>
            <w:vAlign w:val="bottom"/>
            <w:hideMark/>
          </w:tcPr>
          <w:p w14:paraId="0018D403"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€ 1 421,06</w:t>
            </w:r>
          </w:p>
        </w:tc>
        <w:tc>
          <w:tcPr>
            <w:tcW w:w="1767" w:type="dxa"/>
            <w:tcBorders>
              <w:top w:val="single" w:sz="4" w:space="0" w:color="FFC000"/>
              <w:left w:val="nil"/>
              <w:bottom w:val="single" w:sz="4" w:space="0" w:color="FFC000"/>
              <w:right w:val="single" w:sz="4" w:space="0" w:color="FFC000"/>
            </w:tcBorders>
            <w:noWrap/>
            <w:vAlign w:val="bottom"/>
            <w:hideMark/>
          </w:tcPr>
          <w:p w14:paraId="538A282B"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40,70</w:t>
            </w:r>
          </w:p>
        </w:tc>
      </w:tr>
      <w:tr w:rsidR="00A377B9" w:rsidRPr="00BF20A5" w14:paraId="24D4EB08" w14:textId="77777777" w:rsidTr="00670AD3">
        <w:trPr>
          <w:trHeight w:val="264"/>
        </w:trPr>
        <w:tc>
          <w:tcPr>
            <w:tcW w:w="2046" w:type="dxa"/>
            <w:tcBorders>
              <w:top w:val="single" w:sz="4" w:space="0" w:color="FFC000"/>
              <w:left w:val="single" w:sz="4" w:space="0" w:color="FFC000"/>
              <w:bottom w:val="single" w:sz="4" w:space="0" w:color="FFC000"/>
              <w:right w:val="nil"/>
            </w:tcBorders>
            <w:noWrap/>
            <w:vAlign w:val="bottom"/>
            <w:hideMark/>
          </w:tcPr>
          <w:p w14:paraId="3D1ED6DC" w14:textId="77777777" w:rsidR="00A377B9" w:rsidRPr="00BF20A5" w:rsidRDefault="00A377B9" w:rsidP="00EE443A">
            <w:pPr>
              <w:spacing w:after="0" w:line="240" w:lineRule="auto"/>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11. Aalst</w:t>
            </w:r>
          </w:p>
        </w:tc>
        <w:tc>
          <w:tcPr>
            <w:tcW w:w="2306" w:type="dxa"/>
            <w:tcBorders>
              <w:top w:val="single" w:sz="4" w:space="0" w:color="FFC000"/>
              <w:left w:val="nil"/>
              <w:bottom w:val="single" w:sz="4" w:space="0" w:color="FFC000"/>
              <w:right w:val="nil"/>
            </w:tcBorders>
            <w:noWrap/>
            <w:vAlign w:val="bottom"/>
            <w:hideMark/>
          </w:tcPr>
          <w:p w14:paraId="63257A7B"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€ 1 302,07</w:t>
            </w:r>
          </w:p>
        </w:tc>
        <w:tc>
          <w:tcPr>
            <w:tcW w:w="1767" w:type="dxa"/>
            <w:tcBorders>
              <w:top w:val="single" w:sz="4" w:space="0" w:color="FFC000"/>
              <w:left w:val="nil"/>
              <w:bottom w:val="single" w:sz="4" w:space="0" w:color="FFC000"/>
              <w:right w:val="single" w:sz="4" w:space="0" w:color="FFC000"/>
            </w:tcBorders>
            <w:noWrap/>
            <w:vAlign w:val="bottom"/>
            <w:hideMark/>
          </w:tcPr>
          <w:p w14:paraId="2FD8A23E"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37,29</w:t>
            </w:r>
          </w:p>
        </w:tc>
      </w:tr>
      <w:tr w:rsidR="00A377B9" w:rsidRPr="00BF20A5" w14:paraId="68965692" w14:textId="77777777" w:rsidTr="00670AD3">
        <w:trPr>
          <w:trHeight w:val="264"/>
        </w:trPr>
        <w:tc>
          <w:tcPr>
            <w:tcW w:w="2046" w:type="dxa"/>
            <w:tcBorders>
              <w:top w:val="single" w:sz="4" w:space="0" w:color="FFC000"/>
              <w:left w:val="single" w:sz="4" w:space="0" w:color="FFC000"/>
              <w:bottom w:val="single" w:sz="4" w:space="0" w:color="FFC000"/>
              <w:right w:val="nil"/>
            </w:tcBorders>
            <w:noWrap/>
            <w:vAlign w:val="bottom"/>
            <w:hideMark/>
          </w:tcPr>
          <w:p w14:paraId="174968D3" w14:textId="77777777" w:rsidR="00A377B9" w:rsidRPr="00BF20A5" w:rsidRDefault="00A377B9" w:rsidP="00EE443A">
            <w:pPr>
              <w:spacing w:after="0" w:line="240" w:lineRule="auto"/>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12. Brugge</w:t>
            </w:r>
          </w:p>
        </w:tc>
        <w:tc>
          <w:tcPr>
            <w:tcW w:w="2306" w:type="dxa"/>
            <w:tcBorders>
              <w:top w:val="single" w:sz="4" w:space="0" w:color="FFC000"/>
              <w:left w:val="nil"/>
              <w:bottom w:val="single" w:sz="4" w:space="0" w:color="FFC000"/>
              <w:right w:val="nil"/>
            </w:tcBorders>
            <w:noWrap/>
            <w:vAlign w:val="bottom"/>
            <w:hideMark/>
          </w:tcPr>
          <w:p w14:paraId="76473519"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€ 975,60</w:t>
            </w:r>
          </w:p>
        </w:tc>
        <w:tc>
          <w:tcPr>
            <w:tcW w:w="1767" w:type="dxa"/>
            <w:tcBorders>
              <w:top w:val="single" w:sz="4" w:space="0" w:color="FFC000"/>
              <w:left w:val="nil"/>
              <w:bottom w:val="single" w:sz="4" w:space="0" w:color="FFC000"/>
              <w:right w:val="single" w:sz="4" w:space="0" w:color="FFC000"/>
            </w:tcBorders>
            <w:noWrap/>
            <w:vAlign w:val="bottom"/>
            <w:hideMark/>
          </w:tcPr>
          <w:p w14:paraId="24CD071B" w14:textId="77777777" w:rsidR="00A377B9" w:rsidRPr="00BF20A5" w:rsidRDefault="00A377B9" w:rsidP="00EE443A">
            <w:pPr>
              <w:spacing w:after="0" w:line="240" w:lineRule="auto"/>
              <w:jc w:val="right"/>
              <w:rPr>
                <w:rFonts w:ascii="HelveticaNeueLT Std Cn" w:eastAsia="Calibri" w:hAnsi="HelveticaNeueLT Std Cn" w:cs="Calibri"/>
                <w:color w:val="000000"/>
                <w:lang w:eastAsia="nl-BE"/>
              </w:rPr>
            </w:pPr>
            <w:r w:rsidRPr="00BF20A5">
              <w:rPr>
                <w:rFonts w:ascii="HelveticaNeueLT Std Cn" w:eastAsia="Calibri" w:hAnsi="HelveticaNeueLT Std Cn" w:cs="Calibri"/>
                <w:color w:val="000000"/>
                <w:lang w:eastAsia="nl-BE"/>
              </w:rPr>
              <w:t>27,94</w:t>
            </w:r>
          </w:p>
        </w:tc>
      </w:tr>
    </w:tbl>
    <w:p w14:paraId="772D333D" w14:textId="77777777" w:rsidR="00A377B9" w:rsidRDefault="00A377B9" w:rsidP="00A377B9">
      <w:pPr>
        <w:spacing w:after="0"/>
        <w:ind w:left="708"/>
        <w:jc w:val="both"/>
        <w:rPr>
          <w:rFonts w:ascii="HelveticaNeueLT Std Cn" w:hAnsi="HelveticaNeueLT Std Cn"/>
          <w:i/>
          <w:sz w:val="20"/>
          <w:szCs w:val="20"/>
        </w:rPr>
      </w:pPr>
    </w:p>
    <w:p w14:paraId="6A840EFB" w14:textId="7F944BCF" w:rsidR="00A377B9" w:rsidRPr="00670AD3" w:rsidRDefault="00A377B9" w:rsidP="00670AD3">
      <w:pPr>
        <w:spacing w:after="0"/>
        <w:ind w:left="2127"/>
        <w:rPr>
          <w:rFonts w:ascii="HelveticaNeueLT Std Cn" w:hAnsi="HelveticaNeueLT Std Cn"/>
          <w:sz w:val="18"/>
        </w:rPr>
      </w:pPr>
      <w:r w:rsidRPr="00670AD3">
        <w:rPr>
          <w:rFonts w:ascii="HelveticaNeueLT Std Cn" w:hAnsi="HelveticaNeueLT Std Cn"/>
          <w:i/>
          <w:sz w:val="16"/>
          <w:szCs w:val="20"/>
        </w:rPr>
        <w:t>Bron: Meerjarenplannen centrumsteden</w:t>
      </w:r>
    </w:p>
    <w:p w14:paraId="673F9B42" w14:textId="77777777" w:rsidR="00A377B9" w:rsidRPr="00BF20A5" w:rsidRDefault="00A377B9" w:rsidP="00A377B9">
      <w:pPr>
        <w:spacing w:after="0"/>
        <w:jc w:val="both"/>
        <w:rPr>
          <w:rFonts w:ascii="HelveticaNeueLT Std Cn" w:hAnsi="HelveticaNeueLT Std Cn"/>
        </w:rPr>
      </w:pPr>
    </w:p>
    <w:p w14:paraId="3C6E7A7B" w14:textId="0AA722B4" w:rsidR="00670AD3" w:rsidRPr="00670AD3" w:rsidRDefault="00670AD3" w:rsidP="00670AD3">
      <w:pPr>
        <w:pStyle w:val="Lijstalinea"/>
        <w:numPr>
          <w:ilvl w:val="0"/>
          <w:numId w:val="1"/>
        </w:numPr>
        <w:rPr>
          <w:rFonts w:ascii="Book Antiqua" w:hAnsi="Book Antiqua"/>
          <w:color w:val="000000" w:themeColor="text1"/>
          <w:sz w:val="24"/>
          <w:szCs w:val="24"/>
        </w:rPr>
      </w:pPr>
      <w:r w:rsidRPr="00670AD3">
        <w:rPr>
          <w:rFonts w:ascii="Book Antiqua" w:hAnsi="Book Antiqua"/>
          <w:color w:val="000000" w:themeColor="text1"/>
          <w:sz w:val="24"/>
          <w:szCs w:val="24"/>
        </w:rPr>
        <w:t>Het gemiddeld</w:t>
      </w:r>
      <w:r>
        <w:rPr>
          <w:rFonts w:ascii="Book Antiqua" w:hAnsi="Book Antiqua"/>
          <w:color w:val="000000" w:themeColor="text1"/>
          <w:sz w:val="24"/>
          <w:szCs w:val="24"/>
        </w:rPr>
        <w:t>e</w:t>
      </w:r>
      <w:r w:rsidRPr="00670AD3">
        <w:rPr>
          <w:rFonts w:ascii="Book Antiqua" w:hAnsi="Book Antiqua"/>
          <w:color w:val="000000" w:themeColor="text1"/>
          <w:sz w:val="24"/>
          <w:szCs w:val="24"/>
        </w:rPr>
        <w:t xml:space="preserve"> netto belastbaar inkomen in Mechelen is niet sneller gestegen dan in andere centrumsteden, terwijl de schulden dat wel deden. Met het aant</w:t>
      </w:r>
      <w:r>
        <w:rPr>
          <w:rFonts w:ascii="Book Antiqua" w:hAnsi="Book Antiqua"/>
          <w:color w:val="000000" w:themeColor="text1"/>
          <w:sz w:val="24"/>
          <w:szCs w:val="24"/>
        </w:rPr>
        <w:t xml:space="preserve">rekken van nieuwe inwoners kunnen </w:t>
      </w:r>
      <w:r w:rsidRPr="00670AD3">
        <w:rPr>
          <w:rFonts w:ascii="Book Antiqua" w:hAnsi="Book Antiqua"/>
          <w:color w:val="000000" w:themeColor="text1"/>
          <w:sz w:val="24"/>
          <w:szCs w:val="24"/>
        </w:rPr>
        <w:t>we de hoge schuldenberg dus niet doen verdwijnen.</w:t>
      </w:r>
    </w:p>
    <w:tbl>
      <w:tblPr>
        <w:tblStyle w:val="Lijsttabel3-Accent4"/>
        <w:tblW w:w="6203" w:type="dxa"/>
        <w:tblInd w:w="2014" w:type="dxa"/>
        <w:tblLook w:val="04A0" w:firstRow="1" w:lastRow="0" w:firstColumn="1" w:lastColumn="0" w:noHBand="0" w:noVBand="1"/>
      </w:tblPr>
      <w:tblGrid>
        <w:gridCol w:w="1988"/>
        <w:gridCol w:w="1060"/>
        <w:gridCol w:w="1454"/>
        <w:gridCol w:w="1701"/>
      </w:tblGrid>
      <w:tr w:rsidR="00670AD3" w:rsidRPr="00BF20A5" w14:paraId="54FE53D0" w14:textId="77777777" w:rsidTr="00670AD3">
        <w:trPr>
          <w:cnfStyle w:val="100000000000" w:firstRow="1" w:lastRow="0" w:firstColumn="0" w:lastColumn="0" w:oddVBand="0" w:evenVBand="0" w:oddHBand="0" w:evenHBand="0" w:firstRowFirstColumn="0" w:firstRowLastColumn="0" w:lastRowFirstColumn="0" w:lastRowLastColumn="0"/>
          <w:trHeight w:val="301"/>
        </w:trPr>
        <w:tc>
          <w:tcPr>
            <w:cnfStyle w:val="001000000100" w:firstRow="0" w:lastRow="0" w:firstColumn="1" w:lastColumn="0" w:oddVBand="0" w:evenVBand="0" w:oddHBand="0" w:evenHBand="0" w:firstRowFirstColumn="1" w:firstRowLastColumn="0" w:lastRowFirstColumn="0" w:lastRowLastColumn="0"/>
            <w:tcW w:w="6203" w:type="dxa"/>
            <w:gridSpan w:val="4"/>
            <w:tcBorders>
              <w:top w:val="single" w:sz="4" w:space="0" w:color="FFC000" w:themeColor="accent4"/>
              <w:left w:val="single" w:sz="4" w:space="0" w:color="FFC000" w:themeColor="accent4"/>
            </w:tcBorders>
            <w:hideMark/>
          </w:tcPr>
          <w:p w14:paraId="31A65457" w14:textId="77777777" w:rsidR="00670AD3" w:rsidRPr="00BF20A5" w:rsidRDefault="00670AD3" w:rsidP="00EE443A">
            <w:pPr>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lang w:eastAsia="nl-BE"/>
              </w:rPr>
              <w:t>Gemiddeld netto belastbaar inkomen per inwoner</w:t>
            </w:r>
          </w:p>
        </w:tc>
      </w:tr>
      <w:tr w:rsidR="00670AD3" w:rsidRPr="00BF20A5" w14:paraId="09B2B7E0" w14:textId="77777777" w:rsidTr="0067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8" w:type="dxa"/>
            <w:tcBorders>
              <w:left w:val="single" w:sz="4" w:space="0" w:color="FFC000" w:themeColor="accent4"/>
            </w:tcBorders>
            <w:shd w:val="clear" w:color="auto" w:fill="FFE599" w:themeFill="accent4" w:themeFillTint="66"/>
            <w:noWrap/>
            <w:hideMark/>
          </w:tcPr>
          <w:p w14:paraId="3BE233F8" w14:textId="77777777" w:rsidR="00670AD3" w:rsidRPr="00BF20A5" w:rsidRDefault="00670AD3" w:rsidP="00EE443A">
            <w:pPr>
              <w:rPr>
                <w:rFonts w:ascii="HelveticaNeueLT Std Cn" w:eastAsia="Times New Roman" w:hAnsi="HelveticaNeueLT Std Cn" w:cs="Calibri"/>
                <w:b w:val="0"/>
                <w:color w:val="000000"/>
                <w:lang w:eastAsia="nl-BE"/>
              </w:rPr>
            </w:pPr>
            <w:r w:rsidRPr="00BF20A5">
              <w:rPr>
                <w:rFonts w:ascii="HelveticaNeueLT Std Cn" w:eastAsia="Times New Roman" w:hAnsi="HelveticaNeueLT Std Cn" w:cs="Calibri"/>
                <w:b w:val="0"/>
                <w:color w:val="000000"/>
                <w:lang w:eastAsia="nl-BE"/>
              </w:rPr>
              <w:t> </w:t>
            </w:r>
          </w:p>
        </w:tc>
        <w:tc>
          <w:tcPr>
            <w:tcW w:w="1060" w:type="dxa"/>
            <w:tcBorders>
              <w:left w:val="nil"/>
              <w:right w:val="nil"/>
            </w:tcBorders>
            <w:shd w:val="clear" w:color="auto" w:fill="FFE599" w:themeFill="accent4" w:themeFillTint="66"/>
            <w:noWrap/>
            <w:hideMark/>
          </w:tcPr>
          <w:p w14:paraId="6FF09006"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b/>
                <w:bCs/>
                <w:color w:val="000000"/>
                <w:lang w:eastAsia="nl-BE"/>
              </w:rPr>
            </w:pPr>
            <w:r w:rsidRPr="00BF20A5">
              <w:rPr>
                <w:rFonts w:ascii="HelveticaNeueLT Std Cn" w:eastAsia="Times New Roman" w:hAnsi="HelveticaNeueLT Std Cn" w:cs="Calibri"/>
                <w:b/>
                <w:bCs/>
                <w:color w:val="000000"/>
                <w:lang w:eastAsia="nl-BE"/>
              </w:rPr>
              <w:t>2012</w:t>
            </w:r>
          </w:p>
        </w:tc>
        <w:tc>
          <w:tcPr>
            <w:tcW w:w="1454" w:type="dxa"/>
            <w:tcBorders>
              <w:left w:val="nil"/>
              <w:right w:val="nil"/>
            </w:tcBorders>
            <w:shd w:val="clear" w:color="auto" w:fill="FFE599" w:themeFill="accent4" w:themeFillTint="66"/>
            <w:noWrap/>
            <w:hideMark/>
          </w:tcPr>
          <w:p w14:paraId="7AD23BB3"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b/>
                <w:bCs/>
                <w:color w:val="000000"/>
                <w:lang w:eastAsia="nl-BE"/>
              </w:rPr>
            </w:pPr>
            <w:r w:rsidRPr="00BF20A5">
              <w:rPr>
                <w:rFonts w:ascii="HelveticaNeueLT Std Cn" w:eastAsia="Times New Roman" w:hAnsi="HelveticaNeueLT Std Cn" w:cs="Calibri"/>
                <w:b/>
                <w:bCs/>
                <w:color w:val="000000"/>
                <w:lang w:eastAsia="nl-BE"/>
              </w:rPr>
              <w:t>2015</w:t>
            </w:r>
          </w:p>
        </w:tc>
        <w:tc>
          <w:tcPr>
            <w:tcW w:w="1701" w:type="dxa"/>
            <w:tcBorders>
              <w:left w:val="nil"/>
              <w:right w:val="single" w:sz="4" w:space="0" w:color="FFC000" w:themeColor="accent4"/>
            </w:tcBorders>
            <w:shd w:val="clear" w:color="auto" w:fill="FFE599" w:themeFill="accent4" w:themeFillTint="66"/>
            <w:noWrap/>
            <w:hideMark/>
          </w:tcPr>
          <w:p w14:paraId="6E49363D"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b/>
                <w:color w:val="000000"/>
                <w:lang w:eastAsia="nl-BE"/>
              </w:rPr>
            </w:pPr>
            <w:r w:rsidRPr="00BF20A5">
              <w:rPr>
                <w:rFonts w:ascii="HelveticaNeueLT Std Cn" w:eastAsia="Times New Roman" w:hAnsi="HelveticaNeueLT Std Cn" w:cs="Calibri"/>
                <w:b/>
                <w:color w:val="000000"/>
                <w:lang w:eastAsia="nl-BE"/>
              </w:rPr>
              <w:t>Stijging</w:t>
            </w:r>
          </w:p>
        </w:tc>
      </w:tr>
      <w:tr w:rsidR="00670AD3" w:rsidRPr="00BF20A5" w14:paraId="45835171" w14:textId="77777777" w:rsidTr="00670AD3">
        <w:trPr>
          <w:trHeight w:val="285"/>
        </w:trPr>
        <w:tc>
          <w:tcPr>
            <w:cnfStyle w:val="001000000000" w:firstRow="0" w:lastRow="0" w:firstColumn="1" w:lastColumn="0" w:oddVBand="0" w:evenVBand="0" w:oddHBand="0" w:evenHBand="0" w:firstRowFirstColumn="0" w:firstRowLastColumn="0" w:lastRowFirstColumn="0" w:lastRowLastColumn="0"/>
            <w:tcW w:w="1988" w:type="dxa"/>
            <w:tcBorders>
              <w:top w:val="nil"/>
              <w:left w:val="single" w:sz="4" w:space="0" w:color="FFC000" w:themeColor="accent4"/>
              <w:bottom w:val="nil"/>
            </w:tcBorders>
            <w:noWrap/>
            <w:hideMark/>
          </w:tcPr>
          <w:p w14:paraId="2844CDA4" w14:textId="77777777" w:rsidR="00670AD3" w:rsidRPr="00BF20A5" w:rsidRDefault="00670AD3" w:rsidP="00EE443A">
            <w:pPr>
              <w:rPr>
                <w:rFonts w:ascii="HelveticaNeueLT Std Cn" w:eastAsia="Times New Roman" w:hAnsi="HelveticaNeueLT Std Cn" w:cs="Calibri"/>
                <w:b w:val="0"/>
                <w:color w:val="000000"/>
                <w:lang w:eastAsia="nl-BE"/>
              </w:rPr>
            </w:pPr>
            <w:r w:rsidRPr="00BF20A5">
              <w:rPr>
                <w:rFonts w:ascii="HelveticaNeueLT Std Cn" w:eastAsia="Times New Roman" w:hAnsi="HelveticaNeueLT Std Cn" w:cs="Calibri"/>
                <w:b w:val="0"/>
                <w:color w:val="000000"/>
                <w:lang w:eastAsia="nl-BE"/>
              </w:rPr>
              <w:t>Genk</w:t>
            </w:r>
          </w:p>
        </w:tc>
        <w:tc>
          <w:tcPr>
            <w:tcW w:w="1060" w:type="dxa"/>
            <w:tcBorders>
              <w:top w:val="nil"/>
              <w:left w:val="nil"/>
              <w:bottom w:val="nil"/>
              <w:right w:val="nil"/>
            </w:tcBorders>
            <w:noWrap/>
            <w:hideMark/>
          </w:tcPr>
          <w:p w14:paraId="7291C812"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14.807</w:t>
            </w:r>
          </w:p>
        </w:tc>
        <w:tc>
          <w:tcPr>
            <w:tcW w:w="1454" w:type="dxa"/>
            <w:tcBorders>
              <w:top w:val="nil"/>
              <w:left w:val="nil"/>
              <w:bottom w:val="nil"/>
              <w:right w:val="nil"/>
            </w:tcBorders>
            <w:noWrap/>
            <w:hideMark/>
          </w:tcPr>
          <w:p w14:paraId="5DB53CEB"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16.160</w:t>
            </w:r>
          </w:p>
        </w:tc>
        <w:tc>
          <w:tcPr>
            <w:tcW w:w="1701" w:type="dxa"/>
            <w:tcBorders>
              <w:top w:val="nil"/>
              <w:left w:val="nil"/>
              <w:bottom w:val="nil"/>
              <w:right w:val="single" w:sz="4" w:space="0" w:color="FFC000" w:themeColor="accent4"/>
            </w:tcBorders>
            <w:noWrap/>
            <w:hideMark/>
          </w:tcPr>
          <w:p w14:paraId="0CEEF03F"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9,1%</w:t>
            </w:r>
          </w:p>
        </w:tc>
      </w:tr>
      <w:tr w:rsidR="00670AD3" w:rsidRPr="00BF20A5" w14:paraId="168729C1" w14:textId="77777777" w:rsidTr="0067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8" w:type="dxa"/>
            <w:tcBorders>
              <w:left w:val="single" w:sz="4" w:space="0" w:color="FFC000" w:themeColor="accent4"/>
            </w:tcBorders>
            <w:noWrap/>
            <w:hideMark/>
          </w:tcPr>
          <w:p w14:paraId="59D82A80" w14:textId="77777777" w:rsidR="00670AD3" w:rsidRPr="00BF20A5" w:rsidRDefault="00670AD3" w:rsidP="00EE443A">
            <w:pPr>
              <w:rPr>
                <w:rFonts w:ascii="HelveticaNeueLT Std Cn" w:eastAsia="Times New Roman" w:hAnsi="HelveticaNeueLT Std Cn" w:cs="Calibri"/>
                <w:b w:val="0"/>
                <w:color w:val="000000"/>
                <w:lang w:eastAsia="nl-BE"/>
              </w:rPr>
            </w:pPr>
            <w:r w:rsidRPr="00BF20A5">
              <w:rPr>
                <w:rFonts w:ascii="HelveticaNeueLT Std Cn" w:eastAsia="Times New Roman" w:hAnsi="HelveticaNeueLT Std Cn" w:cs="Calibri"/>
                <w:b w:val="0"/>
                <w:color w:val="000000"/>
                <w:lang w:eastAsia="nl-BE"/>
              </w:rPr>
              <w:t>Hasselt</w:t>
            </w:r>
          </w:p>
        </w:tc>
        <w:tc>
          <w:tcPr>
            <w:tcW w:w="1060" w:type="dxa"/>
            <w:tcBorders>
              <w:left w:val="nil"/>
              <w:right w:val="nil"/>
            </w:tcBorders>
            <w:noWrap/>
            <w:hideMark/>
          </w:tcPr>
          <w:p w14:paraId="54E35128"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18.575</w:t>
            </w:r>
          </w:p>
        </w:tc>
        <w:tc>
          <w:tcPr>
            <w:tcW w:w="1454" w:type="dxa"/>
            <w:tcBorders>
              <w:left w:val="nil"/>
              <w:right w:val="nil"/>
            </w:tcBorders>
            <w:noWrap/>
            <w:hideMark/>
          </w:tcPr>
          <w:p w14:paraId="2FAD5183"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20.014</w:t>
            </w:r>
          </w:p>
        </w:tc>
        <w:tc>
          <w:tcPr>
            <w:tcW w:w="1701" w:type="dxa"/>
            <w:tcBorders>
              <w:left w:val="nil"/>
              <w:right w:val="single" w:sz="4" w:space="0" w:color="FFC000" w:themeColor="accent4"/>
            </w:tcBorders>
            <w:noWrap/>
            <w:hideMark/>
          </w:tcPr>
          <w:p w14:paraId="271CCA3C"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7,7%</w:t>
            </w:r>
          </w:p>
        </w:tc>
      </w:tr>
      <w:tr w:rsidR="00670AD3" w:rsidRPr="00BF20A5" w14:paraId="21FA9CBE" w14:textId="77777777" w:rsidTr="00670AD3">
        <w:trPr>
          <w:trHeight w:val="285"/>
        </w:trPr>
        <w:tc>
          <w:tcPr>
            <w:cnfStyle w:val="001000000000" w:firstRow="0" w:lastRow="0" w:firstColumn="1" w:lastColumn="0" w:oddVBand="0" w:evenVBand="0" w:oddHBand="0" w:evenHBand="0" w:firstRowFirstColumn="0" w:firstRowLastColumn="0" w:lastRowFirstColumn="0" w:lastRowLastColumn="0"/>
            <w:tcW w:w="1988" w:type="dxa"/>
            <w:tcBorders>
              <w:top w:val="nil"/>
              <w:left w:val="single" w:sz="4" w:space="0" w:color="FFC000" w:themeColor="accent4"/>
              <w:bottom w:val="nil"/>
            </w:tcBorders>
            <w:noWrap/>
            <w:hideMark/>
          </w:tcPr>
          <w:p w14:paraId="5A598F4D" w14:textId="77777777" w:rsidR="00670AD3" w:rsidRPr="00BF20A5" w:rsidRDefault="00670AD3" w:rsidP="00EE443A">
            <w:pPr>
              <w:rPr>
                <w:rFonts w:ascii="HelveticaNeueLT Std Cn" w:eastAsia="Times New Roman" w:hAnsi="HelveticaNeueLT Std Cn" w:cs="Calibri"/>
                <w:b w:val="0"/>
                <w:color w:val="000000"/>
                <w:lang w:eastAsia="nl-BE"/>
              </w:rPr>
            </w:pPr>
            <w:r w:rsidRPr="00BF20A5">
              <w:rPr>
                <w:rFonts w:ascii="HelveticaNeueLT Std Cn" w:eastAsia="Times New Roman" w:hAnsi="HelveticaNeueLT Std Cn" w:cs="Calibri"/>
                <w:b w:val="0"/>
                <w:color w:val="000000"/>
                <w:lang w:eastAsia="nl-BE"/>
              </w:rPr>
              <w:t>Brugge</w:t>
            </w:r>
          </w:p>
        </w:tc>
        <w:tc>
          <w:tcPr>
            <w:tcW w:w="1060" w:type="dxa"/>
            <w:tcBorders>
              <w:top w:val="nil"/>
              <w:left w:val="nil"/>
              <w:bottom w:val="nil"/>
              <w:right w:val="nil"/>
            </w:tcBorders>
            <w:noWrap/>
            <w:hideMark/>
          </w:tcPr>
          <w:p w14:paraId="38DB7409"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18.442</w:t>
            </w:r>
          </w:p>
        </w:tc>
        <w:tc>
          <w:tcPr>
            <w:tcW w:w="1454" w:type="dxa"/>
            <w:tcBorders>
              <w:top w:val="nil"/>
              <w:left w:val="nil"/>
              <w:bottom w:val="nil"/>
              <w:right w:val="nil"/>
            </w:tcBorders>
            <w:noWrap/>
            <w:hideMark/>
          </w:tcPr>
          <w:p w14:paraId="55FF48CC"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19.724</w:t>
            </w:r>
          </w:p>
        </w:tc>
        <w:tc>
          <w:tcPr>
            <w:tcW w:w="1701" w:type="dxa"/>
            <w:tcBorders>
              <w:top w:val="nil"/>
              <w:left w:val="nil"/>
              <w:bottom w:val="nil"/>
              <w:right w:val="single" w:sz="4" w:space="0" w:color="FFC000" w:themeColor="accent4"/>
            </w:tcBorders>
            <w:noWrap/>
            <w:hideMark/>
          </w:tcPr>
          <w:p w14:paraId="3D98978C"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7,0%</w:t>
            </w:r>
          </w:p>
        </w:tc>
      </w:tr>
      <w:tr w:rsidR="00670AD3" w:rsidRPr="00BF20A5" w14:paraId="3D11F264" w14:textId="77777777" w:rsidTr="0067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8" w:type="dxa"/>
            <w:tcBorders>
              <w:left w:val="single" w:sz="4" w:space="0" w:color="FFC000" w:themeColor="accent4"/>
            </w:tcBorders>
            <w:noWrap/>
            <w:hideMark/>
          </w:tcPr>
          <w:p w14:paraId="265BF86C" w14:textId="77777777" w:rsidR="00670AD3" w:rsidRPr="00BF20A5" w:rsidRDefault="00670AD3" w:rsidP="00EE443A">
            <w:pPr>
              <w:rPr>
                <w:rFonts w:ascii="HelveticaNeueLT Std Cn" w:eastAsia="Times New Roman" w:hAnsi="HelveticaNeueLT Std Cn" w:cs="Calibri"/>
                <w:b w:val="0"/>
                <w:i/>
                <w:iCs/>
                <w:color w:val="000000"/>
                <w:lang w:eastAsia="nl-BE"/>
              </w:rPr>
            </w:pPr>
            <w:r w:rsidRPr="00BF20A5">
              <w:rPr>
                <w:rFonts w:ascii="HelveticaNeueLT Std Cn" w:eastAsia="Times New Roman" w:hAnsi="HelveticaNeueLT Std Cn" w:cs="Calibri"/>
                <w:b w:val="0"/>
                <w:i/>
                <w:iCs/>
                <w:color w:val="000000"/>
                <w:lang w:eastAsia="nl-BE"/>
              </w:rPr>
              <w:t>Vlaams Gewest</w:t>
            </w:r>
          </w:p>
        </w:tc>
        <w:tc>
          <w:tcPr>
            <w:tcW w:w="1060" w:type="dxa"/>
            <w:tcBorders>
              <w:left w:val="nil"/>
              <w:right w:val="nil"/>
            </w:tcBorders>
            <w:noWrap/>
            <w:hideMark/>
          </w:tcPr>
          <w:p w14:paraId="31560115"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i/>
                <w:iCs/>
                <w:color w:val="000000"/>
                <w:lang w:eastAsia="nl-BE"/>
              </w:rPr>
            </w:pPr>
            <w:r w:rsidRPr="00BF20A5">
              <w:rPr>
                <w:rFonts w:ascii="HelveticaNeueLT Std Cn" w:eastAsia="Times New Roman" w:hAnsi="HelveticaNeueLT Std Cn" w:cs="Calibri"/>
                <w:i/>
                <w:iCs/>
                <w:color w:val="000000"/>
                <w:lang w:eastAsia="nl-BE"/>
              </w:rPr>
              <w:t>17.765</w:t>
            </w:r>
          </w:p>
        </w:tc>
        <w:tc>
          <w:tcPr>
            <w:tcW w:w="1454" w:type="dxa"/>
            <w:tcBorders>
              <w:left w:val="nil"/>
              <w:right w:val="nil"/>
            </w:tcBorders>
            <w:noWrap/>
            <w:hideMark/>
          </w:tcPr>
          <w:p w14:paraId="4B743ECC"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i/>
                <w:iCs/>
                <w:color w:val="000000"/>
                <w:lang w:eastAsia="nl-BE"/>
              </w:rPr>
            </w:pPr>
            <w:r w:rsidRPr="00BF20A5">
              <w:rPr>
                <w:rFonts w:ascii="HelveticaNeueLT Std Cn" w:eastAsia="Times New Roman" w:hAnsi="HelveticaNeueLT Std Cn" w:cs="Calibri"/>
                <w:i/>
                <w:iCs/>
                <w:color w:val="000000"/>
                <w:lang w:eastAsia="nl-BE"/>
              </w:rPr>
              <w:t>18.970</w:t>
            </w:r>
          </w:p>
        </w:tc>
        <w:tc>
          <w:tcPr>
            <w:tcW w:w="1701" w:type="dxa"/>
            <w:tcBorders>
              <w:left w:val="nil"/>
              <w:right w:val="single" w:sz="4" w:space="0" w:color="FFC000" w:themeColor="accent4"/>
            </w:tcBorders>
            <w:noWrap/>
            <w:hideMark/>
          </w:tcPr>
          <w:p w14:paraId="4599EC7B"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i/>
                <w:iCs/>
                <w:color w:val="000000"/>
                <w:lang w:eastAsia="nl-BE"/>
              </w:rPr>
            </w:pPr>
            <w:r w:rsidRPr="00BF20A5">
              <w:rPr>
                <w:rFonts w:ascii="HelveticaNeueLT Std Cn" w:eastAsia="Times New Roman" w:hAnsi="HelveticaNeueLT Std Cn" w:cs="Calibri"/>
                <w:i/>
                <w:iCs/>
                <w:color w:val="000000"/>
                <w:lang w:eastAsia="nl-BE"/>
              </w:rPr>
              <w:t>6,8%</w:t>
            </w:r>
          </w:p>
        </w:tc>
      </w:tr>
      <w:tr w:rsidR="00670AD3" w:rsidRPr="00BF20A5" w14:paraId="390BB7BE" w14:textId="77777777" w:rsidTr="00670AD3">
        <w:trPr>
          <w:trHeight w:val="285"/>
        </w:trPr>
        <w:tc>
          <w:tcPr>
            <w:cnfStyle w:val="001000000000" w:firstRow="0" w:lastRow="0" w:firstColumn="1" w:lastColumn="0" w:oddVBand="0" w:evenVBand="0" w:oddHBand="0" w:evenHBand="0" w:firstRowFirstColumn="0" w:firstRowLastColumn="0" w:lastRowFirstColumn="0" w:lastRowLastColumn="0"/>
            <w:tcW w:w="1988" w:type="dxa"/>
            <w:tcBorders>
              <w:top w:val="nil"/>
              <w:left w:val="single" w:sz="4" w:space="0" w:color="FFC000" w:themeColor="accent4"/>
              <w:bottom w:val="nil"/>
            </w:tcBorders>
            <w:noWrap/>
            <w:hideMark/>
          </w:tcPr>
          <w:p w14:paraId="748CB9A5" w14:textId="77777777" w:rsidR="00670AD3" w:rsidRPr="00BF20A5" w:rsidRDefault="00670AD3" w:rsidP="00EE443A">
            <w:pPr>
              <w:rPr>
                <w:rFonts w:ascii="HelveticaNeueLT Std Cn" w:eastAsia="Times New Roman" w:hAnsi="HelveticaNeueLT Std Cn" w:cs="Calibri"/>
                <w:b w:val="0"/>
                <w:color w:val="000000"/>
                <w:lang w:eastAsia="nl-BE"/>
              </w:rPr>
            </w:pPr>
            <w:r w:rsidRPr="00BF20A5">
              <w:rPr>
                <w:rFonts w:ascii="HelveticaNeueLT Std Cn" w:eastAsia="Times New Roman" w:hAnsi="HelveticaNeueLT Std Cn" w:cs="Calibri"/>
                <w:b w:val="0"/>
                <w:color w:val="000000"/>
                <w:lang w:eastAsia="nl-BE"/>
              </w:rPr>
              <w:t>Roeselare</w:t>
            </w:r>
          </w:p>
        </w:tc>
        <w:tc>
          <w:tcPr>
            <w:tcW w:w="1060" w:type="dxa"/>
            <w:tcBorders>
              <w:top w:val="nil"/>
              <w:left w:val="nil"/>
              <w:bottom w:val="nil"/>
              <w:right w:val="nil"/>
            </w:tcBorders>
            <w:noWrap/>
            <w:hideMark/>
          </w:tcPr>
          <w:p w14:paraId="55BAEE8B"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17.047</w:t>
            </w:r>
          </w:p>
        </w:tc>
        <w:tc>
          <w:tcPr>
            <w:tcW w:w="1454" w:type="dxa"/>
            <w:tcBorders>
              <w:top w:val="nil"/>
              <w:left w:val="nil"/>
              <w:bottom w:val="nil"/>
              <w:right w:val="nil"/>
            </w:tcBorders>
            <w:noWrap/>
            <w:hideMark/>
          </w:tcPr>
          <w:p w14:paraId="7F5E3138"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18.198</w:t>
            </w:r>
          </w:p>
        </w:tc>
        <w:tc>
          <w:tcPr>
            <w:tcW w:w="1701" w:type="dxa"/>
            <w:tcBorders>
              <w:top w:val="nil"/>
              <w:left w:val="nil"/>
              <w:bottom w:val="nil"/>
              <w:right w:val="single" w:sz="4" w:space="0" w:color="FFC000" w:themeColor="accent4"/>
            </w:tcBorders>
            <w:noWrap/>
            <w:hideMark/>
          </w:tcPr>
          <w:p w14:paraId="5B9332AB"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6,8%</w:t>
            </w:r>
          </w:p>
        </w:tc>
      </w:tr>
      <w:tr w:rsidR="00670AD3" w:rsidRPr="00BF20A5" w14:paraId="4A34670C" w14:textId="77777777" w:rsidTr="0067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8" w:type="dxa"/>
            <w:tcBorders>
              <w:left w:val="single" w:sz="4" w:space="0" w:color="FFC000" w:themeColor="accent4"/>
            </w:tcBorders>
            <w:noWrap/>
            <w:hideMark/>
          </w:tcPr>
          <w:p w14:paraId="1194C3E6" w14:textId="77777777" w:rsidR="00670AD3" w:rsidRPr="00BF20A5" w:rsidRDefault="00670AD3" w:rsidP="00EE443A">
            <w:pPr>
              <w:rPr>
                <w:rFonts w:ascii="HelveticaNeueLT Std Cn" w:eastAsia="Times New Roman" w:hAnsi="HelveticaNeueLT Std Cn" w:cs="Calibri"/>
                <w:b w:val="0"/>
                <w:color w:val="000000"/>
                <w:lang w:eastAsia="nl-BE"/>
              </w:rPr>
            </w:pPr>
            <w:r w:rsidRPr="00BF20A5">
              <w:rPr>
                <w:rFonts w:ascii="HelveticaNeueLT Std Cn" w:eastAsia="Times New Roman" w:hAnsi="HelveticaNeueLT Std Cn" w:cs="Calibri"/>
                <w:b w:val="0"/>
                <w:color w:val="000000"/>
                <w:lang w:eastAsia="nl-BE"/>
              </w:rPr>
              <w:t>Oostende</w:t>
            </w:r>
          </w:p>
        </w:tc>
        <w:tc>
          <w:tcPr>
            <w:tcW w:w="1060" w:type="dxa"/>
            <w:tcBorders>
              <w:left w:val="nil"/>
              <w:right w:val="nil"/>
            </w:tcBorders>
            <w:noWrap/>
            <w:hideMark/>
          </w:tcPr>
          <w:p w14:paraId="132C1A29"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16.733</w:t>
            </w:r>
          </w:p>
        </w:tc>
        <w:tc>
          <w:tcPr>
            <w:tcW w:w="1454" w:type="dxa"/>
            <w:tcBorders>
              <w:left w:val="nil"/>
              <w:right w:val="nil"/>
            </w:tcBorders>
            <w:noWrap/>
            <w:hideMark/>
          </w:tcPr>
          <w:p w14:paraId="1DF454F0"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17.808</w:t>
            </w:r>
          </w:p>
        </w:tc>
        <w:tc>
          <w:tcPr>
            <w:tcW w:w="1701" w:type="dxa"/>
            <w:tcBorders>
              <w:left w:val="nil"/>
              <w:right w:val="single" w:sz="4" w:space="0" w:color="FFC000" w:themeColor="accent4"/>
            </w:tcBorders>
            <w:noWrap/>
            <w:hideMark/>
          </w:tcPr>
          <w:p w14:paraId="416B3DF3"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6,4%</w:t>
            </w:r>
          </w:p>
        </w:tc>
      </w:tr>
      <w:tr w:rsidR="00670AD3" w:rsidRPr="00BF20A5" w14:paraId="700FD65B" w14:textId="77777777" w:rsidTr="00670AD3">
        <w:trPr>
          <w:trHeight w:val="285"/>
        </w:trPr>
        <w:tc>
          <w:tcPr>
            <w:cnfStyle w:val="001000000000" w:firstRow="0" w:lastRow="0" w:firstColumn="1" w:lastColumn="0" w:oddVBand="0" w:evenVBand="0" w:oddHBand="0" w:evenHBand="0" w:firstRowFirstColumn="0" w:firstRowLastColumn="0" w:lastRowFirstColumn="0" w:lastRowLastColumn="0"/>
            <w:tcW w:w="1988" w:type="dxa"/>
            <w:tcBorders>
              <w:top w:val="nil"/>
              <w:left w:val="single" w:sz="4" w:space="0" w:color="FFC000" w:themeColor="accent4"/>
              <w:bottom w:val="nil"/>
            </w:tcBorders>
            <w:noWrap/>
            <w:hideMark/>
          </w:tcPr>
          <w:p w14:paraId="5762140B" w14:textId="77777777" w:rsidR="00670AD3" w:rsidRPr="00BF20A5" w:rsidRDefault="00670AD3" w:rsidP="00EE443A">
            <w:pPr>
              <w:rPr>
                <w:rFonts w:ascii="HelveticaNeueLT Std Cn" w:eastAsia="Times New Roman" w:hAnsi="HelveticaNeueLT Std Cn" w:cs="Calibri"/>
                <w:b w:val="0"/>
                <w:color w:val="000000"/>
                <w:lang w:eastAsia="nl-BE"/>
              </w:rPr>
            </w:pPr>
            <w:r w:rsidRPr="00BF20A5">
              <w:rPr>
                <w:rFonts w:ascii="HelveticaNeueLT Std Cn" w:eastAsia="Times New Roman" w:hAnsi="HelveticaNeueLT Std Cn" w:cs="Calibri"/>
                <w:b w:val="0"/>
                <w:color w:val="000000"/>
                <w:lang w:eastAsia="nl-BE"/>
              </w:rPr>
              <w:t>Kortrijk</w:t>
            </w:r>
          </w:p>
        </w:tc>
        <w:tc>
          <w:tcPr>
            <w:tcW w:w="1060" w:type="dxa"/>
            <w:tcBorders>
              <w:top w:val="nil"/>
              <w:left w:val="nil"/>
              <w:bottom w:val="nil"/>
              <w:right w:val="nil"/>
            </w:tcBorders>
            <w:noWrap/>
            <w:hideMark/>
          </w:tcPr>
          <w:p w14:paraId="68A7DE48"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17.445</w:t>
            </w:r>
          </w:p>
        </w:tc>
        <w:tc>
          <w:tcPr>
            <w:tcW w:w="1454" w:type="dxa"/>
            <w:tcBorders>
              <w:top w:val="nil"/>
              <w:left w:val="nil"/>
              <w:bottom w:val="nil"/>
              <w:right w:val="nil"/>
            </w:tcBorders>
            <w:noWrap/>
            <w:hideMark/>
          </w:tcPr>
          <w:p w14:paraId="0B076CC4"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18.543</w:t>
            </w:r>
          </w:p>
        </w:tc>
        <w:tc>
          <w:tcPr>
            <w:tcW w:w="1701" w:type="dxa"/>
            <w:tcBorders>
              <w:top w:val="nil"/>
              <w:left w:val="nil"/>
              <w:bottom w:val="nil"/>
              <w:right w:val="single" w:sz="4" w:space="0" w:color="FFC000" w:themeColor="accent4"/>
            </w:tcBorders>
            <w:noWrap/>
            <w:hideMark/>
          </w:tcPr>
          <w:p w14:paraId="36E4514D"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6,3%</w:t>
            </w:r>
          </w:p>
        </w:tc>
      </w:tr>
      <w:tr w:rsidR="00670AD3" w:rsidRPr="00BF20A5" w14:paraId="64485CA4" w14:textId="77777777" w:rsidTr="0067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8" w:type="dxa"/>
            <w:tcBorders>
              <w:left w:val="single" w:sz="4" w:space="0" w:color="FFC000" w:themeColor="accent4"/>
            </w:tcBorders>
            <w:noWrap/>
            <w:hideMark/>
          </w:tcPr>
          <w:p w14:paraId="2A9F43AA" w14:textId="77777777" w:rsidR="00670AD3" w:rsidRPr="00BF20A5" w:rsidRDefault="00670AD3" w:rsidP="00EE443A">
            <w:pPr>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Mechelen</w:t>
            </w:r>
          </w:p>
        </w:tc>
        <w:tc>
          <w:tcPr>
            <w:tcW w:w="1060" w:type="dxa"/>
            <w:tcBorders>
              <w:left w:val="nil"/>
              <w:right w:val="nil"/>
            </w:tcBorders>
            <w:noWrap/>
            <w:hideMark/>
          </w:tcPr>
          <w:p w14:paraId="3AF3AC19"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b/>
                <w:bCs/>
                <w:color w:val="000000"/>
                <w:lang w:eastAsia="nl-BE"/>
              </w:rPr>
            </w:pPr>
            <w:r w:rsidRPr="00BF20A5">
              <w:rPr>
                <w:rFonts w:ascii="HelveticaNeueLT Std Cn" w:eastAsia="Times New Roman" w:hAnsi="HelveticaNeueLT Std Cn" w:cs="Calibri"/>
                <w:b/>
                <w:bCs/>
                <w:color w:val="000000"/>
                <w:lang w:eastAsia="nl-BE"/>
              </w:rPr>
              <w:t>17.528</w:t>
            </w:r>
          </w:p>
        </w:tc>
        <w:tc>
          <w:tcPr>
            <w:tcW w:w="1454" w:type="dxa"/>
            <w:tcBorders>
              <w:left w:val="nil"/>
              <w:right w:val="nil"/>
            </w:tcBorders>
            <w:noWrap/>
            <w:hideMark/>
          </w:tcPr>
          <w:p w14:paraId="311DFEAB"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b/>
                <w:bCs/>
                <w:color w:val="000000"/>
                <w:lang w:eastAsia="nl-BE"/>
              </w:rPr>
            </w:pPr>
            <w:r w:rsidRPr="00BF20A5">
              <w:rPr>
                <w:rFonts w:ascii="HelveticaNeueLT Std Cn" w:eastAsia="Times New Roman" w:hAnsi="HelveticaNeueLT Std Cn" w:cs="Calibri"/>
                <w:b/>
                <w:bCs/>
                <w:color w:val="000000"/>
                <w:lang w:eastAsia="nl-BE"/>
              </w:rPr>
              <w:t>18.615</w:t>
            </w:r>
          </w:p>
        </w:tc>
        <w:tc>
          <w:tcPr>
            <w:tcW w:w="1701" w:type="dxa"/>
            <w:tcBorders>
              <w:left w:val="nil"/>
              <w:right w:val="single" w:sz="4" w:space="0" w:color="FFC000" w:themeColor="accent4"/>
            </w:tcBorders>
            <w:noWrap/>
            <w:hideMark/>
          </w:tcPr>
          <w:p w14:paraId="66BFB9D0"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b/>
                <w:bCs/>
                <w:color w:val="000000"/>
                <w:lang w:eastAsia="nl-BE"/>
              </w:rPr>
            </w:pPr>
            <w:r w:rsidRPr="00BF20A5">
              <w:rPr>
                <w:rFonts w:ascii="HelveticaNeueLT Std Cn" w:eastAsia="Times New Roman" w:hAnsi="HelveticaNeueLT Std Cn" w:cs="Calibri"/>
                <w:b/>
                <w:bCs/>
                <w:color w:val="000000"/>
                <w:lang w:eastAsia="nl-BE"/>
              </w:rPr>
              <w:t>6,2%</w:t>
            </w:r>
          </w:p>
        </w:tc>
      </w:tr>
      <w:tr w:rsidR="00670AD3" w:rsidRPr="00BF20A5" w14:paraId="56AD1A9A" w14:textId="77777777" w:rsidTr="00670AD3">
        <w:trPr>
          <w:trHeight w:val="285"/>
        </w:trPr>
        <w:tc>
          <w:tcPr>
            <w:cnfStyle w:val="001000000000" w:firstRow="0" w:lastRow="0" w:firstColumn="1" w:lastColumn="0" w:oddVBand="0" w:evenVBand="0" w:oddHBand="0" w:evenHBand="0" w:firstRowFirstColumn="0" w:firstRowLastColumn="0" w:lastRowFirstColumn="0" w:lastRowLastColumn="0"/>
            <w:tcW w:w="1988" w:type="dxa"/>
            <w:tcBorders>
              <w:top w:val="nil"/>
              <w:left w:val="single" w:sz="4" w:space="0" w:color="FFC000" w:themeColor="accent4"/>
              <w:bottom w:val="nil"/>
            </w:tcBorders>
            <w:noWrap/>
            <w:hideMark/>
          </w:tcPr>
          <w:p w14:paraId="4716F7FD" w14:textId="77777777" w:rsidR="00670AD3" w:rsidRPr="00BF20A5" w:rsidRDefault="00670AD3" w:rsidP="00EE443A">
            <w:pPr>
              <w:rPr>
                <w:rFonts w:ascii="HelveticaNeueLT Std Cn" w:eastAsia="Times New Roman" w:hAnsi="HelveticaNeueLT Std Cn" w:cs="Calibri"/>
                <w:b w:val="0"/>
                <w:i/>
                <w:iCs/>
                <w:color w:val="000000"/>
                <w:lang w:eastAsia="nl-BE"/>
              </w:rPr>
            </w:pPr>
            <w:r w:rsidRPr="00BF20A5">
              <w:rPr>
                <w:rFonts w:ascii="HelveticaNeueLT Std Cn" w:eastAsia="Times New Roman" w:hAnsi="HelveticaNeueLT Std Cn" w:cs="Calibri"/>
                <w:b w:val="0"/>
                <w:i/>
                <w:iCs/>
                <w:color w:val="000000"/>
                <w:lang w:eastAsia="nl-BE"/>
              </w:rPr>
              <w:t>Totaal 13 steden</w:t>
            </w:r>
          </w:p>
        </w:tc>
        <w:tc>
          <w:tcPr>
            <w:tcW w:w="1060" w:type="dxa"/>
            <w:tcBorders>
              <w:top w:val="nil"/>
              <w:left w:val="nil"/>
              <w:bottom w:val="nil"/>
              <w:right w:val="nil"/>
            </w:tcBorders>
            <w:noWrap/>
            <w:hideMark/>
          </w:tcPr>
          <w:p w14:paraId="57347AC7"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i/>
                <w:iCs/>
                <w:color w:val="000000"/>
                <w:lang w:eastAsia="nl-BE"/>
              </w:rPr>
            </w:pPr>
            <w:r w:rsidRPr="00BF20A5">
              <w:rPr>
                <w:rFonts w:ascii="HelveticaNeueLT Std Cn" w:eastAsia="Times New Roman" w:hAnsi="HelveticaNeueLT Std Cn" w:cs="Calibri"/>
                <w:i/>
                <w:iCs/>
                <w:color w:val="000000"/>
                <w:lang w:eastAsia="nl-BE"/>
              </w:rPr>
              <w:t>16.655</w:t>
            </w:r>
          </w:p>
        </w:tc>
        <w:tc>
          <w:tcPr>
            <w:tcW w:w="1454" w:type="dxa"/>
            <w:tcBorders>
              <w:top w:val="nil"/>
              <w:left w:val="nil"/>
              <w:bottom w:val="nil"/>
              <w:right w:val="nil"/>
            </w:tcBorders>
            <w:noWrap/>
            <w:hideMark/>
          </w:tcPr>
          <w:p w14:paraId="13570447"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i/>
                <w:iCs/>
                <w:color w:val="000000"/>
                <w:lang w:eastAsia="nl-BE"/>
              </w:rPr>
            </w:pPr>
            <w:r w:rsidRPr="00BF20A5">
              <w:rPr>
                <w:rFonts w:ascii="HelveticaNeueLT Std Cn" w:eastAsia="Times New Roman" w:hAnsi="HelveticaNeueLT Std Cn" w:cs="Calibri"/>
                <w:i/>
                <w:iCs/>
                <w:color w:val="000000"/>
                <w:lang w:eastAsia="nl-BE"/>
              </w:rPr>
              <w:t>17.626</w:t>
            </w:r>
          </w:p>
        </w:tc>
        <w:tc>
          <w:tcPr>
            <w:tcW w:w="1701" w:type="dxa"/>
            <w:tcBorders>
              <w:top w:val="nil"/>
              <w:left w:val="nil"/>
              <w:bottom w:val="nil"/>
              <w:right w:val="single" w:sz="4" w:space="0" w:color="FFC000" w:themeColor="accent4"/>
            </w:tcBorders>
            <w:noWrap/>
            <w:hideMark/>
          </w:tcPr>
          <w:p w14:paraId="0C4BE56C"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i/>
                <w:iCs/>
                <w:color w:val="000000"/>
                <w:lang w:eastAsia="nl-BE"/>
              </w:rPr>
            </w:pPr>
            <w:r w:rsidRPr="00BF20A5">
              <w:rPr>
                <w:rFonts w:ascii="HelveticaNeueLT Std Cn" w:eastAsia="Times New Roman" w:hAnsi="HelveticaNeueLT Std Cn" w:cs="Calibri"/>
                <w:i/>
                <w:iCs/>
                <w:color w:val="000000"/>
                <w:lang w:eastAsia="nl-BE"/>
              </w:rPr>
              <w:t>5,8%</w:t>
            </w:r>
          </w:p>
        </w:tc>
      </w:tr>
      <w:tr w:rsidR="00670AD3" w:rsidRPr="00BF20A5" w14:paraId="5684E7E3" w14:textId="77777777" w:rsidTr="0067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8" w:type="dxa"/>
            <w:tcBorders>
              <w:left w:val="single" w:sz="4" w:space="0" w:color="FFC000" w:themeColor="accent4"/>
            </w:tcBorders>
            <w:noWrap/>
            <w:hideMark/>
          </w:tcPr>
          <w:p w14:paraId="49E272E4" w14:textId="77777777" w:rsidR="00670AD3" w:rsidRPr="00BF20A5" w:rsidRDefault="00670AD3" w:rsidP="00EE443A">
            <w:pPr>
              <w:rPr>
                <w:rFonts w:ascii="HelveticaNeueLT Std Cn" w:eastAsia="Times New Roman" w:hAnsi="HelveticaNeueLT Std Cn" w:cs="Calibri"/>
                <w:b w:val="0"/>
                <w:color w:val="000000"/>
                <w:lang w:eastAsia="nl-BE"/>
              </w:rPr>
            </w:pPr>
            <w:r w:rsidRPr="00BF20A5">
              <w:rPr>
                <w:rFonts w:ascii="HelveticaNeueLT Std Cn" w:eastAsia="Times New Roman" w:hAnsi="HelveticaNeueLT Std Cn" w:cs="Calibri"/>
                <w:b w:val="0"/>
                <w:color w:val="000000"/>
                <w:lang w:eastAsia="nl-BE"/>
              </w:rPr>
              <w:t>Antwerpen</w:t>
            </w:r>
          </w:p>
        </w:tc>
        <w:tc>
          <w:tcPr>
            <w:tcW w:w="1060" w:type="dxa"/>
            <w:tcBorders>
              <w:left w:val="nil"/>
              <w:right w:val="nil"/>
            </w:tcBorders>
            <w:noWrap/>
            <w:hideMark/>
          </w:tcPr>
          <w:p w14:paraId="0F5E72B7"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14.834</w:t>
            </w:r>
          </w:p>
        </w:tc>
        <w:tc>
          <w:tcPr>
            <w:tcW w:w="1454" w:type="dxa"/>
            <w:tcBorders>
              <w:left w:val="nil"/>
              <w:right w:val="nil"/>
            </w:tcBorders>
            <w:noWrap/>
            <w:hideMark/>
          </w:tcPr>
          <w:p w14:paraId="3563A0CF"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15.688</w:t>
            </w:r>
          </w:p>
        </w:tc>
        <w:tc>
          <w:tcPr>
            <w:tcW w:w="1701" w:type="dxa"/>
            <w:tcBorders>
              <w:left w:val="nil"/>
              <w:right w:val="single" w:sz="4" w:space="0" w:color="FFC000" w:themeColor="accent4"/>
            </w:tcBorders>
            <w:noWrap/>
            <w:hideMark/>
          </w:tcPr>
          <w:p w14:paraId="4A1D063B"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5,8%</w:t>
            </w:r>
          </w:p>
        </w:tc>
      </w:tr>
      <w:tr w:rsidR="00670AD3" w:rsidRPr="00BF20A5" w14:paraId="17DA1F0E" w14:textId="77777777" w:rsidTr="00670AD3">
        <w:trPr>
          <w:trHeight w:val="285"/>
        </w:trPr>
        <w:tc>
          <w:tcPr>
            <w:cnfStyle w:val="001000000000" w:firstRow="0" w:lastRow="0" w:firstColumn="1" w:lastColumn="0" w:oddVBand="0" w:evenVBand="0" w:oddHBand="0" w:evenHBand="0" w:firstRowFirstColumn="0" w:firstRowLastColumn="0" w:lastRowFirstColumn="0" w:lastRowLastColumn="0"/>
            <w:tcW w:w="1988" w:type="dxa"/>
            <w:tcBorders>
              <w:top w:val="nil"/>
              <w:left w:val="single" w:sz="4" w:space="0" w:color="FFC000" w:themeColor="accent4"/>
              <w:bottom w:val="nil"/>
            </w:tcBorders>
            <w:noWrap/>
            <w:hideMark/>
          </w:tcPr>
          <w:p w14:paraId="43C0E33B" w14:textId="77777777" w:rsidR="00670AD3" w:rsidRPr="00BF20A5" w:rsidRDefault="00670AD3" w:rsidP="00EE443A">
            <w:pPr>
              <w:rPr>
                <w:rFonts w:ascii="HelveticaNeueLT Std Cn" w:eastAsia="Times New Roman" w:hAnsi="HelveticaNeueLT Std Cn" w:cs="Calibri"/>
                <w:b w:val="0"/>
                <w:color w:val="000000"/>
                <w:lang w:eastAsia="nl-BE"/>
              </w:rPr>
            </w:pPr>
            <w:r w:rsidRPr="00BF20A5">
              <w:rPr>
                <w:rFonts w:ascii="HelveticaNeueLT Std Cn" w:eastAsia="Times New Roman" w:hAnsi="HelveticaNeueLT Std Cn" w:cs="Calibri"/>
                <w:b w:val="0"/>
                <w:color w:val="000000"/>
                <w:lang w:eastAsia="nl-BE"/>
              </w:rPr>
              <w:t>Leuven</w:t>
            </w:r>
          </w:p>
        </w:tc>
        <w:tc>
          <w:tcPr>
            <w:tcW w:w="1060" w:type="dxa"/>
            <w:tcBorders>
              <w:top w:val="nil"/>
              <w:left w:val="nil"/>
              <w:bottom w:val="nil"/>
              <w:right w:val="nil"/>
            </w:tcBorders>
            <w:noWrap/>
            <w:hideMark/>
          </w:tcPr>
          <w:p w14:paraId="59DA1A43"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19.302</w:t>
            </w:r>
          </w:p>
        </w:tc>
        <w:tc>
          <w:tcPr>
            <w:tcW w:w="1454" w:type="dxa"/>
            <w:tcBorders>
              <w:top w:val="nil"/>
              <w:left w:val="nil"/>
              <w:bottom w:val="nil"/>
              <w:right w:val="nil"/>
            </w:tcBorders>
            <w:noWrap/>
            <w:hideMark/>
          </w:tcPr>
          <w:p w14:paraId="1F2E4F4A"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20.401</w:t>
            </w:r>
          </w:p>
        </w:tc>
        <w:tc>
          <w:tcPr>
            <w:tcW w:w="1701" w:type="dxa"/>
            <w:tcBorders>
              <w:top w:val="nil"/>
              <w:left w:val="nil"/>
              <w:bottom w:val="nil"/>
              <w:right w:val="single" w:sz="4" w:space="0" w:color="FFC000" w:themeColor="accent4"/>
            </w:tcBorders>
            <w:noWrap/>
            <w:hideMark/>
          </w:tcPr>
          <w:p w14:paraId="4EA48048"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5,7%</w:t>
            </w:r>
          </w:p>
        </w:tc>
      </w:tr>
      <w:tr w:rsidR="00670AD3" w:rsidRPr="00BF20A5" w14:paraId="30B34C54" w14:textId="77777777" w:rsidTr="0067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8" w:type="dxa"/>
            <w:tcBorders>
              <w:left w:val="single" w:sz="4" w:space="0" w:color="FFC000" w:themeColor="accent4"/>
            </w:tcBorders>
            <w:noWrap/>
            <w:hideMark/>
          </w:tcPr>
          <w:p w14:paraId="25E607D9" w14:textId="77777777" w:rsidR="00670AD3" w:rsidRPr="00BF20A5" w:rsidRDefault="00670AD3" w:rsidP="00EE443A">
            <w:pPr>
              <w:rPr>
                <w:rFonts w:ascii="HelveticaNeueLT Std Cn" w:eastAsia="Times New Roman" w:hAnsi="HelveticaNeueLT Std Cn" w:cs="Calibri"/>
                <w:b w:val="0"/>
                <w:color w:val="000000"/>
                <w:lang w:eastAsia="nl-BE"/>
              </w:rPr>
            </w:pPr>
            <w:r w:rsidRPr="00BF20A5">
              <w:rPr>
                <w:rFonts w:ascii="HelveticaNeueLT Std Cn" w:eastAsia="Times New Roman" w:hAnsi="HelveticaNeueLT Std Cn" w:cs="Calibri"/>
                <w:b w:val="0"/>
                <w:color w:val="000000"/>
                <w:lang w:eastAsia="nl-BE"/>
              </w:rPr>
              <w:t>Sint-Niklaas</w:t>
            </w:r>
          </w:p>
        </w:tc>
        <w:tc>
          <w:tcPr>
            <w:tcW w:w="1060" w:type="dxa"/>
            <w:tcBorders>
              <w:left w:val="nil"/>
              <w:right w:val="nil"/>
            </w:tcBorders>
            <w:noWrap/>
            <w:hideMark/>
          </w:tcPr>
          <w:p w14:paraId="04C7C64F"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16.792</w:t>
            </w:r>
          </w:p>
        </w:tc>
        <w:tc>
          <w:tcPr>
            <w:tcW w:w="1454" w:type="dxa"/>
            <w:tcBorders>
              <w:left w:val="nil"/>
              <w:right w:val="nil"/>
            </w:tcBorders>
            <w:noWrap/>
            <w:hideMark/>
          </w:tcPr>
          <w:p w14:paraId="7F0F7A32"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17.688</w:t>
            </w:r>
          </w:p>
        </w:tc>
        <w:tc>
          <w:tcPr>
            <w:tcW w:w="1701" w:type="dxa"/>
            <w:tcBorders>
              <w:left w:val="nil"/>
              <w:right w:val="single" w:sz="4" w:space="0" w:color="FFC000" w:themeColor="accent4"/>
            </w:tcBorders>
            <w:noWrap/>
            <w:hideMark/>
          </w:tcPr>
          <w:p w14:paraId="0FCFC488"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5,3%</w:t>
            </w:r>
          </w:p>
        </w:tc>
      </w:tr>
      <w:tr w:rsidR="00670AD3" w:rsidRPr="00BF20A5" w14:paraId="0AD86BEE" w14:textId="77777777" w:rsidTr="00670AD3">
        <w:trPr>
          <w:trHeight w:val="285"/>
        </w:trPr>
        <w:tc>
          <w:tcPr>
            <w:cnfStyle w:val="001000000000" w:firstRow="0" w:lastRow="0" w:firstColumn="1" w:lastColumn="0" w:oddVBand="0" w:evenVBand="0" w:oddHBand="0" w:evenHBand="0" w:firstRowFirstColumn="0" w:firstRowLastColumn="0" w:lastRowFirstColumn="0" w:lastRowLastColumn="0"/>
            <w:tcW w:w="1988" w:type="dxa"/>
            <w:tcBorders>
              <w:top w:val="nil"/>
              <w:left w:val="single" w:sz="4" w:space="0" w:color="FFC000" w:themeColor="accent4"/>
              <w:bottom w:val="nil"/>
            </w:tcBorders>
            <w:noWrap/>
            <w:hideMark/>
          </w:tcPr>
          <w:p w14:paraId="698411D2" w14:textId="77777777" w:rsidR="00670AD3" w:rsidRPr="00BF20A5" w:rsidRDefault="00670AD3" w:rsidP="00EE443A">
            <w:pPr>
              <w:rPr>
                <w:rFonts w:ascii="HelveticaNeueLT Std Cn" w:eastAsia="Times New Roman" w:hAnsi="HelveticaNeueLT Std Cn" w:cs="Calibri"/>
                <w:b w:val="0"/>
                <w:color w:val="000000"/>
                <w:lang w:eastAsia="nl-BE"/>
              </w:rPr>
            </w:pPr>
            <w:r w:rsidRPr="00BF20A5">
              <w:rPr>
                <w:rFonts w:ascii="HelveticaNeueLT Std Cn" w:eastAsia="Times New Roman" w:hAnsi="HelveticaNeueLT Std Cn" w:cs="Calibri"/>
                <w:b w:val="0"/>
                <w:color w:val="000000"/>
                <w:lang w:eastAsia="nl-BE"/>
              </w:rPr>
              <w:t>Aalst</w:t>
            </w:r>
          </w:p>
        </w:tc>
        <w:tc>
          <w:tcPr>
            <w:tcW w:w="1060" w:type="dxa"/>
            <w:tcBorders>
              <w:top w:val="nil"/>
              <w:left w:val="nil"/>
              <w:bottom w:val="nil"/>
              <w:right w:val="nil"/>
            </w:tcBorders>
            <w:noWrap/>
            <w:hideMark/>
          </w:tcPr>
          <w:p w14:paraId="0AACA74B"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18.194</w:t>
            </w:r>
          </w:p>
        </w:tc>
        <w:tc>
          <w:tcPr>
            <w:tcW w:w="1454" w:type="dxa"/>
            <w:tcBorders>
              <w:top w:val="nil"/>
              <w:left w:val="nil"/>
              <w:bottom w:val="nil"/>
              <w:right w:val="nil"/>
            </w:tcBorders>
            <w:noWrap/>
            <w:hideMark/>
          </w:tcPr>
          <w:p w14:paraId="1C9AA158"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19.014</w:t>
            </w:r>
          </w:p>
        </w:tc>
        <w:tc>
          <w:tcPr>
            <w:tcW w:w="1701" w:type="dxa"/>
            <w:tcBorders>
              <w:top w:val="nil"/>
              <w:left w:val="nil"/>
              <w:bottom w:val="nil"/>
              <w:right w:val="single" w:sz="4" w:space="0" w:color="FFC000" w:themeColor="accent4"/>
            </w:tcBorders>
            <w:noWrap/>
            <w:hideMark/>
          </w:tcPr>
          <w:p w14:paraId="732C702D"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4,5%</w:t>
            </w:r>
          </w:p>
        </w:tc>
      </w:tr>
      <w:tr w:rsidR="00670AD3" w:rsidRPr="00BF20A5" w14:paraId="63C4B3D0" w14:textId="77777777" w:rsidTr="0067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8" w:type="dxa"/>
            <w:tcBorders>
              <w:left w:val="single" w:sz="4" w:space="0" w:color="FFC000" w:themeColor="accent4"/>
            </w:tcBorders>
            <w:noWrap/>
            <w:hideMark/>
          </w:tcPr>
          <w:p w14:paraId="2BB14D6C" w14:textId="77777777" w:rsidR="00670AD3" w:rsidRPr="00BF20A5" w:rsidRDefault="00670AD3" w:rsidP="00EE443A">
            <w:pPr>
              <w:rPr>
                <w:rFonts w:ascii="HelveticaNeueLT Std Cn" w:eastAsia="Times New Roman" w:hAnsi="HelveticaNeueLT Std Cn" w:cs="Calibri"/>
                <w:b w:val="0"/>
                <w:color w:val="000000"/>
                <w:lang w:eastAsia="nl-BE"/>
              </w:rPr>
            </w:pPr>
            <w:r w:rsidRPr="00BF20A5">
              <w:rPr>
                <w:rFonts w:ascii="HelveticaNeueLT Std Cn" w:eastAsia="Times New Roman" w:hAnsi="HelveticaNeueLT Std Cn" w:cs="Calibri"/>
                <w:b w:val="0"/>
                <w:color w:val="000000"/>
                <w:lang w:eastAsia="nl-BE"/>
              </w:rPr>
              <w:t>Turnhout</w:t>
            </w:r>
          </w:p>
        </w:tc>
        <w:tc>
          <w:tcPr>
            <w:tcW w:w="1060" w:type="dxa"/>
            <w:tcBorders>
              <w:left w:val="nil"/>
              <w:right w:val="nil"/>
            </w:tcBorders>
            <w:noWrap/>
            <w:hideMark/>
          </w:tcPr>
          <w:p w14:paraId="4BF3F868"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16.707</w:t>
            </w:r>
          </w:p>
        </w:tc>
        <w:tc>
          <w:tcPr>
            <w:tcW w:w="1454" w:type="dxa"/>
            <w:tcBorders>
              <w:left w:val="nil"/>
              <w:right w:val="nil"/>
            </w:tcBorders>
            <w:noWrap/>
            <w:hideMark/>
          </w:tcPr>
          <w:p w14:paraId="698D9541"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17.459</w:t>
            </w:r>
          </w:p>
        </w:tc>
        <w:tc>
          <w:tcPr>
            <w:tcW w:w="1701" w:type="dxa"/>
            <w:tcBorders>
              <w:left w:val="nil"/>
              <w:right w:val="single" w:sz="4" w:space="0" w:color="FFC000" w:themeColor="accent4"/>
            </w:tcBorders>
            <w:noWrap/>
            <w:hideMark/>
          </w:tcPr>
          <w:p w14:paraId="77A3D8E5"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4,5%</w:t>
            </w:r>
          </w:p>
        </w:tc>
      </w:tr>
      <w:tr w:rsidR="00670AD3" w:rsidRPr="00BF20A5" w14:paraId="59AC25D2" w14:textId="77777777" w:rsidTr="00670AD3">
        <w:trPr>
          <w:trHeight w:val="285"/>
        </w:trPr>
        <w:tc>
          <w:tcPr>
            <w:cnfStyle w:val="001000000000" w:firstRow="0" w:lastRow="0" w:firstColumn="1" w:lastColumn="0" w:oddVBand="0" w:evenVBand="0" w:oddHBand="0" w:evenHBand="0" w:firstRowFirstColumn="0" w:firstRowLastColumn="0" w:lastRowFirstColumn="0" w:lastRowLastColumn="0"/>
            <w:tcW w:w="1988" w:type="dxa"/>
            <w:tcBorders>
              <w:top w:val="nil"/>
              <w:left w:val="single" w:sz="4" w:space="0" w:color="FFC000" w:themeColor="accent4"/>
              <w:bottom w:val="nil"/>
            </w:tcBorders>
            <w:noWrap/>
            <w:hideMark/>
          </w:tcPr>
          <w:p w14:paraId="0C331EB0" w14:textId="77777777" w:rsidR="00670AD3" w:rsidRPr="00BF20A5" w:rsidRDefault="00670AD3" w:rsidP="00EE443A">
            <w:pPr>
              <w:rPr>
                <w:rFonts w:ascii="HelveticaNeueLT Std Cn" w:eastAsia="Times New Roman" w:hAnsi="HelveticaNeueLT Std Cn" w:cs="Calibri"/>
                <w:b w:val="0"/>
                <w:color w:val="000000"/>
                <w:lang w:eastAsia="nl-BE"/>
              </w:rPr>
            </w:pPr>
            <w:r w:rsidRPr="00BF20A5">
              <w:rPr>
                <w:rFonts w:ascii="HelveticaNeueLT Std Cn" w:eastAsia="Times New Roman" w:hAnsi="HelveticaNeueLT Std Cn" w:cs="Calibri"/>
                <w:b w:val="0"/>
                <w:color w:val="000000"/>
                <w:lang w:eastAsia="nl-BE"/>
              </w:rPr>
              <w:t>Gent</w:t>
            </w:r>
          </w:p>
        </w:tc>
        <w:tc>
          <w:tcPr>
            <w:tcW w:w="1060" w:type="dxa"/>
            <w:tcBorders>
              <w:top w:val="nil"/>
              <w:left w:val="nil"/>
              <w:bottom w:val="nil"/>
              <w:right w:val="nil"/>
            </w:tcBorders>
            <w:noWrap/>
            <w:hideMark/>
          </w:tcPr>
          <w:p w14:paraId="202CFD89"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17.189</w:t>
            </w:r>
          </w:p>
        </w:tc>
        <w:tc>
          <w:tcPr>
            <w:tcW w:w="1454" w:type="dxa"/>
            <w:tcBorders>
              <w:top w:val="nil"/>
              <w:left w:val="nil"/>
              <w:bottom w:val="nil"/>
              <w:right w:val="nil"/>
            </w:tcBorders>
            <w:noWrap/>
            <w:hideMark/>
          </w:tcPr>
          <w:p w14:paraId="79074210"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17.923</w:t>
            </w:r>
          </w:p>
        </w:tc>
        <w:tc>
          <w:tcPr>
            <w:tcW w:w="1701" w:type="dxa"/>
            <w:tcBorders>
              <w:top w:val="nil"/>
              <w:left w:val="nil"/>
              <w:bottom w:val="nil"/>
              <w:right w:val="single" w:sz="4" w:space="0" w:color="FFC000" w:themeColor="accent4"/>
            </w:tcBorders>
            <w:noWrap/>
            <w:hideMark/>
          </w:tcPr>
          <w:p w14:paraId="267E6317" w14:textId="77777777" w:rsidR="00670AD3" w:rsidRPr="00BF20A5" w:rsidRDefault="00670AD3" w:rsidP="00EE443A">
            <w:pPr>
              <w:jc w:val="right"/>
              <w:cnfStyle w:val="000000000000" w:firstRow="0" w:lastRow="0" w:firstColumn="0" w:lastColumn="0" w:oddVBand="0" w:evenVBand="0" w:oddHBand="0"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4,3%</w:t>
            </w:r>
          </w:p>
        </w:tc>
      </w:tr>
      <w:tr w:rsidR="00670AD3" w:rsidRPr="00BF20A5" w14:paraId="64946EF8" w14:textId="77777777" w:rsidTr="0067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8" w:type="dxa"/>
            <w:tcBorders>
              <w:left w:val="single" w:sz="4" w:space="0" w:color="FFC000" w:themeColor="accent4"/>
            </w:tcBorders>
            <w:noWrap/>
            <w:hideMark/>
          </w:tcPr>
          <w:p w14:paraId="3C33D988" w14:textId="77777777" w:rsidR="00670AD3" w:rsidRPr="00BF20A5" w:rsidRDefault="00670AD3" w:rsidP="00EE443A">
            <w:pPr>
              <w:rPr>
                <w:rFonts w:ascii="HelveticaNeueLT Std Cn" w:eastAsia="Times New Roman" w:hAnsi="HelveticaNeueLT Std Cn" w:cs="Calibri"/>
                <w:b w:val="0"/>
                <w:color w:val="000000"/>
                <w:lang w:eastAsia="nl-BE"/>
              </w:rPr>
            </w:pPr>
            <w:r w:rsidRPr="00BF20A5">
              <w:rPr>
                <w:rFonts w:ascii="HelveticaNeueLT Std Cn" w:eastAsia="Times New Roman" w:hAnsi="HelveticaNeueLT Std Cn" w:cs="Calibri"/>
                <w:b w:val="0"/>
                <w:color w:val="000000"/>
                <w:lang w:eastAsia="nl-BE"/>
              </w:rPr>
              <w:t>Brussels Gewest</w:t>
            </w:r>
          </w:p>
        </w:tc>
        <w:tc>
          <w:tcPr>
            <w:tcW w:w="1060" w:type="dxa"/>
            <w:tcBorders>
              <w:left w:val="nil"/>
              <w:right w:val="nil"/>
            </w:tcBorders>
            <w:noWrap/>
            <w:hideMark/>
          </w:tcPr>
          <w:p w14:paraId="2C2D13FE"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13.312</w:t>
            </w:r>
          </w:p>
        </w:tc>
        <w:tc>
          <w:tcPr>
            <w:tcW w:w="1454" w:type="dxa"/>
            <w:tcBorders>
              <w:left w:val="nil"/>
              <w:right w:val="nil"/>
            </w:tcBorders>
            <w:noWrap/>
            <w:hideMark/>
          </w:tcPr>
          <w:p w14:paraId="5864CC17"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13.831</w:t>
            </w:r>
          </w:p>
        </w:tc>
        <w:tc>
          <w:tcPr>
            <w:tcW w:w="1701" w:type="dxa"/>
            <w:tcBorders>
              <w:left w:val="nil"/>
              <w:right w:val="single" w:sz="4" w:space="0" w:color="FFC000" w:themeColor="accent4"/>
            </w:tcBorders>
            <w:noWrap/>
            <w:hideMark/>
          </w:tcPr>
          <w:p w14:paraId="2DF67FE0" w14:textId="77777777" w:rsidR="00670AD3" w:rsidRPr="00BF20A5" w:rsidRDefault="00670AD3" w:rsidP="00EE443A">
            <w:pPr>
              <w:jc w:val="right"/>
              <w:cnfStyle w:val="000000100000" w:firstRow="0" w:lastRow="0" w:firstColumn="0" w:lastColumn="0" w:oddVBand="0" w:evenVBand="0" w:oddHBand="1" w:evenHBand="0" w:firstRowFirstColumn="0" w:firstRowLastColumn="0" w:lastRowFirstColumn="0" w:lastRowLastColumn="0"/>
              <w:rPr>
                <w:rFonts w:ascii="HelveticaNeueLT Std Cn" w:eastAsia="Times New Roman" w:hAnsi="HelveticaNeueLT Std Cn" w:cs="Calibri"/>
                <w:color w:val="000000"/>
                <w:lang w:eastAsia="nl-BE"/>
              </w:rPr>
            </w:pPr>
            <w:r w:rsidRPr="00BF20A5">
              <w:rPr>
                <w:rFonts w:ascii="HelveticaNeueLT Std Cn" w:eastAsia="Times New Roman" w:hAnsi="HelveticaNeueLT Std Cn" w:cs="Calibri"/>
                <w:color w:val="000000"/>
                <w:lang w:eastAsia="nl-BE"/>
              </w:rPr>
              <w:t>3,9%</w:t>
            </w:r>
          </w:p>
        </w:tc>
      </w:tr>
    </w:tbl>
    <w:p w14:paraId="2D3B7661" w14:textId="77777777" w:rsidR="00670AD3" w:rsidRDefault="00670AD3" w:rsidP="00670AD3">
      <w:pPr>
        <w:spacing w:after="0"/>
        <w:ind w:left="567"/>
        <w:jc w:val="both"/>
        <w:rPr>
          <w:rFonts w:ascii="HelveticaNeueLT Std Cn" w:hAnsi="HelveticaNeueLT Std Cn"/>
          <w:i/>
          <w:sz w:val="18"/>
          <w:szCs w:val="20"/>
        </w:rPr>
      </w:pPr>
    </w:p>
    <w:p w14:paraId="2D71FB95" w14:textId="5E65CDAB" w:rsidR="00670AD3" w:rsidRPr="00670AD3" w:rsidRDefault="00670AD3" w:rsidP="00670AD3">
      <w:pPr>
        <w:spacing w:after="0"/>
        <w:ind w:left="2127"/>
        <w:jc w:val="both"/>
        <w:rPr>
          <w:rFonts w:ascii="HelveticaNeueLT Std Cn" w:hAnsi="HelveticaNeueLT Std Cn"/>
          <w:i/>
          <w:sz w:val="16"/>
          <w:szCs w:val="20"/>
        </w:rPr>
      </w:pPr>
      <w:r>
        <w:rPr>
          <w:rFonts w:ascii="HelveticaNeueLT Std Cn" w:hAnsi="HelveticaNeueLT Std Cn"/>
          <w:i/>
          <w:sz w:val="16"/>
          <w:szCs w:val="20"/>
        </w:rPr>
        <w:t>Bron: S</w:t>
      </w:r>
      <w:r w:rsidRPr="00670AD3">
        <w:rPr>
          <w:rFonts w:ascii="HelveticaNeueLT Std Cn" w:hAnsi="HelveticaNeueLT Std Cn"/>
          <w:i/>
          <w:sz w:val="16"/>
          <w:szCs w:val="20"/>
        </w:rPr>
        <w:t>tadsmonitor 2017</w:t>
      </w:r>
    </w:p>
    <w:p w14:paraId="54C11210" w14:textId="6E712101" w:rsidR="00670AD3" w:rsidRPr="00670AD3" w:rsidRDefault="00670AD3" w:rsidP="00664143">
      <w:pPr>
        <w:pStyle w:val="Lijstalinea"/>
        <w:numPr>
          <w:ilvl w:val="0"/>
          <w:numId w:val="1"/>
        </w:numPr>
        <w:spacing w:line="256" w:lineRule="auto"/>
        <w:rPr>
          <w:rFonts w:ascii="HelveticaNeueLT Std Cn" w:hAnsi="HelveticaNeueLT Std Cn"/>
        </w:rPr>
      </w:pPr>
      <w:r w:rsidRPr="00670AD3">
        <w:rPr>
          <w:rFonts w:ascii="Book Antiqua" w:hAnsi="Book Antiqua"/>
          <w:color w:val="000000" w:themeColor="text1"/>
          <w:sz w:val="24"/>
          <w:szCs w:val="24"/>
        </w:rPr>
        <w:lastRenderedPageBreak/>
        <w:t>In 2017 stelde Bart Somers zelf voorop dat de uitstaande schuld maximaal 1,5 keer meer mag bedragen dan het totaal van de gewone ontvangsten tegen het einde van de rit. Dat blijft een gezond principe dat we nu niet halen.</w:t>
      </w:r>
    </w:p>
    <w:p w14:paraId="050C20F2" w14:textId="77777777" w:rsidR="00670AD3" w:rsidRPr="00664143" w:rsidRDefault="00670AD3" w:rsidP="00664143">
      <w:pPr>
        <w:spacing w:line="256" w:lineRule="auto"/>
        <w:ind w:left="-153"/>
        <w:rPr>
          <w:rFonts w:ascii="HelveticaNeueLT Std Cn" w:hAnsi="HelveticaNeueLT Std Cn"/>
        </w:rPr>
      </w:pPr>
    </w:p>
    <w:tbl>
      <w:tblPr>
        <w:tblStyle w:val="Rastertabel4-Accent4"/>
        <w:tblW w:w="8926" w:type="dxa"/>
        <w:tblInd w:w="595" w:type="dxa"/>
        <w:tblLook w:val="04A0" w:firstRow="1" w:lastRow="0" w:firstColumn="1" w:lastColumn="0" w:noHBand="0" w:noVBand="1"/>
      </w:tblPr>
      <w:tblGrid>
        <w:gridCol w:w="4106"/>
        <w:gridCol w:w="992"/>
        <w:gridCol w:w="993"/>
        <w:gridCol w:w="992"/>
        <w:gridCol w:w="992"/>
        <w:gridCol w:w="851"/>
      </w:tblGrid>
      <w:tr w:rsidR="00670AD3" w:rsidRPr="00BF20A5" w14:paraId="3FFD7269" w14:textId="77777777" w:rsidTr="00EE4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DDECE13" w14:textId="77777777" w:rsidR="00670AD3" w:rsidRPr="00BF20A5" w:rsidRDefault="00670AD3" w:rsidP="00EE443A">
            <w:pPr>
              <w:rPr>
                <w:rFonts w:ascii="HelveticaNeueLT Std Cn" w:hAnsi="HelveticaNeueLT Std Cn"/>
              </w:rPr>
            </w:pPr>
            <w:r w:rsidRPr="00BF20A5">
              <w:rPr>
                <w:rFonts w:ascii="HelveticaNeueLT Std Cn" w:hAnsi="HelveticaNeueLT Std Cn"/>
              </w:rPr>
              <w:t>Norm</w:t>
            </w:r>
          </w:p>
        </w:tc>
        <w:tc>
          <w:tcPr>
            <w:tcW w:w="992" w:type="dxa"/>
          </w:tcPr>
          <w:p w14:paraId="379475B6" w14:textId="77777777" w:rsidR="00670AD3" w:rsidRPr="00BF20A5" w:rsidRDefault="00670AD3" w:rsidP="00EE443A">
            <w:pPr>
              <w:cnfStyle w:val="100000000000" w:firstRow="1" w:lastRow="0" w:firstColumn="0" w:lastColumn="0" w:oddVBand="0" w:evenVBand="0" w:oddHBand="0" w:evenHBand="0" w:firstRowFirstColumn="0" w:firstRowLastColumn="0" w:lastRowFirstColumn="0" w:lastRowLastColumn="0"/>
              <w:rPr>
                <w:rFonts w:ascii="HelveticaNeueLT Std Cn" w:hAnsi="HelveticaNeueLT Std Cn"/>
              </w:rPr>
            </w:pPr>
            <w:r w:rsidRPr="00BF20A5">
              <w:rPr>
                <w:rFonts w:ascii="HelveticaNeueLT Std Cn" w:hAnsi="HelveticaNeueLT Std Cn"/>
              </w:rPr>
              <w:t>2017</w:t>
            </w:r>
          </w:p>
        </w:tc>
        <w:tc>
          <w:tcPr>
            <w:tcW w:w="993" w:type="dxa"/>
          </w:tcPr>
          <w:p w14:paraId="5574938B" w14:textId="77777777" w:rsidR="00670AD3" w:rsidRPr="00BF20A5" w:rsidRDefault="00670AD3" w:rsidP="00EE443A">
            <w:pPr>
              <w:cnfStyle w:val="100000000000" w:firstRow="1" w:lastRow="0" w:firstColumn="0" w:lastColumn="0" w:oddVBand="0" w:evenVBand="0" w:oddHBand="0" w:evenHBand="0" w:firstRowFirstColumn="0" w:firstRowLastColumn="0" w:lastRowFirstColumn="0" w:lastRowLastColumn="0"/>
              <w:rPr>
                <w:rFonts w:ascii="HelveticaNeueLT Std Cn" w:hAnsi="HelveticaNeueLT Std Cn"/>
              </w:rPr>
            </w:pPr>
            <w:r w:rsidRPr="00BF20A5">
              <w:rPr>
                <w:rFonts w:ascii="HelveticaNeueLT Std Cn" w:hAnsi="HelveticaNeueLT Std Cn"/>
              </w:rPr>
              <w:t>2018</w:t>
            </w:r>
          </w:p>
        </w:tc>
        <w:tc>
          <w:tcPr>
            <w:tcW w:w="992" w:type="dxa"/>
          </w:tcPr>
          <w:p w14:paraId="744D1FD2" w14:textId="77777777" w:rsidR="00670AD3" w:rsidRPr="00BF20A5" w:rsidRDefault="00670AD3" w:rsidP="00EE443A">
            <w:pPr>
              <w:cnfStyle w:val="100000000000" w:firstRow="1" w:lastRow="0" w:firstColumn="0" w:lastColumn="0" w:oddVBand="0" w:evenVBand="0" w:oddHBand="0" w:evenHBand="0" w:firstRowFirstColumn="0" w:firstRowLastColumn="0" w:lastRowFirstColumn="0" w:lastRowLastColumn="0"/>
              <w:rPr>
                <w:rFonts w:ascii="HelveticaNeueLT Std Cn" w:hAnsi="HelveticaNeueLT Std Cn"/>
              </w:rPr>
            </w:pPr>
            <w:r w:rsidRPr="00BF20A5">
              <w:rPr>
                <w:rFonts w:ascii="HelveticaNeueLT Std Cn" w:hAnsi="HelveticaNeueLT Std Cn"/>
              </w:rPr>
              <w:t>2019</w:t>
            </w:r>
          </w:p>
        </w:tc>
        <w:tc>
          <w:tcPr>
            <w:tcW w:w="992" w:type="dxa"/>
          </w:tcPr>
          <w:p w14:paraId="4DCAC3CF" w14:textId="77777777" w:rsidR="00670AD3" w:rsidRPr="00BF20A5" w:rsidRDefault="00670AD3" w:rsidP="00EE443A">
            <w:pPr>
              <w:cnfStyle w:val="100000000000" w:firstRow="1" w:lastRow="0" w:firstColumn="0" w:lastColumn="0" w:oddVBand="0" w:evenVBand="0" w:oddHBand="0" w:evenHBand="0" w:firstRowFirstColumn="0" w:firstRowLastColumn="0" w:lastRowFirstColumn="0" w:lastRowLastColumn="0"/>
              <w:rPr>
                <w:rFonts w:ascii="HelveticaNeueLT Std Cn" w:hAnsi="HelveticaNeueLT Std Cn"/>
              </w:rPr>
            </w:pPr>
            <w:r w:rsidRPr="00BF20A5">
              <w:rPr>
                <w:rFonts w:ascii="HelveticaNeueLT Std Cn" w:hAnsi="HelveticaNeueLT Std Cn"/>
              </w:rPr>
              <w:t>2020</w:t>
            </w:r>
          </w:p>
        </w:tc>
        <w:tc>
          <w:tcPr>
            <w:tcW w:w="851" w:type="dxa"/>
          </w:tcPr>
          <w:p w14:paraId="76C6B43D" w14:textId="77777777" w:rsidR="00670AD3" w:rsidRPr="00BF20A5" w:rsidRDefault="00670AD3" w:rsidP="00EE443A">
            <w:pPr>
              <w:cnfStyle w:val="100000000000" w:firstRow="1" w:lastRow="0" w:firstColumn="0" w:lastColumn="0" w:oddVBand="0" w:evenVBand="0" w:oddHBand="0" w:evenHBand="0" w:firstRowFirstColumn="0" w:firstRowLastColumn="0" w:lastRowFirstColumn="0" w:lastRowLastColumn="0"/>
              <w:rPr>
                <w:rFonts w:ascii="HelveticaNeueLT Std Cn" w:hAnsi="HelveticaNeueLT Std Cn"/>
              </w:rPr>
            </w:pPr>
            <w:r w:rsidRPr="00BF20A5">
              <w:rPr>
                <w:rFonts w:ascii="HelveticaNeueLT Std Cn" w:hAnsi="HelveticaNeueLT Std Cn"/>
              </w:rPr>
              <w:t>2021</w:t>
            </w:r>
          </w:p>
        </w:tc>
      </w:tr>
      <w:tr w:rsidR="00670AD3" w:rsidRPr="00BF20A5" w14:paraId="61582864" w14:textId="77777777" w:rsidTr="00EE4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791AEF7F" w14:textId="77777777" w:rsidR="00670AD3" w:rsidRPr="00BF20A5" w:rsidRDefault="00670AD3" w:rsidP="00EE443A">
            <w:pPr>
              <w:rPr>
                <w:rFonts w:ascii="HelveticaNeueLT Std Cn" w:hAnsi="HelveticaNeueLT Std Cn"/>
              </w:rPr>
            </w:pPr>
            <w:r w:rsidRPr="00BF20A5">
              <w:rPr>
                <w:rFonts w:ascii="HelveticaNeueLT Std Cn" w:hAnsi="HelveticaNeueLT Std Cn"/>
              </w:rPr>
              <w:t xml:space="preserve">Reële uitstaande schuld t.o.v. </w:t>
            </w:r>
            <w:r w:rsidRPr="00BF20A5">
              <w:rPr>
                <w:rFonts w:ascii="HelveticaNeueLT Std Cn" w:hAnsi="HelveticaNeueLT Std Cn"/>
              </w:rPr>
              <w:br/>
              <w:t>gewone ontvangsten</w:t>
            </w:r>
          </w:p>
        </w:tc>
        <w:tc>
          <w:tcPr>
            <w:tcW w:w="992" w:type="dxa"/>
          </w:tcPr>
          <w:p w14:paraId="1962D4AC" w14:textId="77777777" w:rsidR="00670AD3" w:rsidRPr="00BF20A5" w:rsidRDefault="00670AD3" w:rsidP="00EE443A">
            <w:pPr>
              <w:cnfStyle w:val="000000100000" w:firstRow="0" w:lastRow="0" w:firstColumn="0" w:lastColumn="0" w:oddVBand="0" w:evenVBand="0" w:oddHBand="1" w:evenHBand="0" w:firstRowFirstColumn="0" w:firstRowLastColumn="0" w:lastRowFirstColumn="0" w:lastRowLastColumn="0"/>
              <w:rPr>
                <w:rFonts w:ascii="HelveticaNeueLT Std Cn" w:hAnsi="HelveticaNeueLT Std Cn"/>
              </w:rPr>
            </w:pPr>
            <w:r w:rsidRPr="00BF20A5">
              <w:rPr>
                <w:rFonts w:ascii="HelveticaNeueLT Std Cn" w:hAnsi="HelveticaNeueLT Std Cn"/>
              </w:rPr>
              <w:t>1,91</w:t>
            </w:r>
          </w:p>
        </w:tc>
        <w:tc>
          <w:tcPr>
            <w:tcW w:w="993" w:type="dxa"/>
          </w:tcPr>
          <w:p w14:paraId="7F8595EF" w14:textId="77777777" w:rsidR="00670AD3" w:rsidRPr="00BF20A5" w:rsidRDefault="00670AD3" w:rsidP="00EE443A">
            <w:pPr>
              <w:cnfStyle w:val="000000100000" w:firstRow="0" w:lastRow="0" w:firstColumn="0" w:lastColumn="0" w:oddVBand="0" w:evenVBand="0" w:oddHBand="1" w:evenHBand="0" w:firstRowFirstColumn="0" w:firstRowLastColumn="0" w:lastRowFirstColumn="0" w:lastRowLastColumn="0"/>
              <w:rPr>
                <w:rFonts w:ascii="HelveticaNeueLT Std Cn" w:hAnsi="HelveticaNeueLT Std Cn"/>
              </w:rPr>
            </w:pPr>
            <w:r w:rsidRPr="00BF20A5">
              <w:rPr>
                <w:rFonts w:ascii="HelveticaNeueLT Std Cn" w:hAnsi="HelveticaNeueLT Std Cn"/>
              </w:rPr>
              <w:t>1,87</w:t>
            </w:r>
          </w:p>
        </w:tc>
        <w:tc>
          <w:tcPr>
            <w:tcW w:w="992" w:type="dxa"/>
          </w:tcPr>
          <w:p w14:paraId="42D5EEA8" w14:textId="77777777" w:rsidR="00670AD3" w:rsidRPr="00BF20A5" w:rsidRDefault="00670AD3" w:rsidP="00EE443A">
            <w:pPr>
              <w:cnfStyle w:val="000000100000" w:firstRow="0" w:lastRow="0" w:firstColumn="0" w:lastColumn="0" w:oddVBand="0" w:evenVBand="0" w:oddHBand="1" w:evenHBand="0" w:firstRowFirstColumn="0" w:firstRowLastColumn="0" w:lastRowFirstColumn="0" w:lastRowLastColumn="0"/>
              <w:rPr>
                <w:rFonts w:ascii="HelveticaNeueLT Std Cn" w:hAnsi="HelveticaNeueLT Std Cn"/>
              </w:rPr>
            </w:pPr>
            <w:r w:rsidRPr="00BF20A5">
              <w:rPr>
                <w:rFonts w:ascii="HelveticaNeueLT Std Cn" w:hAnsi="HelveticaNeueLT Std Cn"/>
              </w:rPr>
              <w:t>1,82</w:t>
            </w:r>
          </w:p>
        </w:tc>
        <w:tc>
          <w:tcPr>
            <w:tcW w:w="992" w:type="dxa"/>
          </w:tcPr>
          <w:p w14:paraId="24316E30" w14:textId="77777777" w:rsidR="00670AD3" w:rsidRPr="00BF20A5" w:rsidRDefault="00670AD3" w:rsidP="00EE443A">
            <w:pPr>
              <w:cnfStyle w:val="000000100000" w:firstRow="0" w:lastRow="0" w:firstColumn="0" w:lastColumn="0" w:oddVBand="0" w:evenVBand="0" w:oddHBand="1" w:evenHBand="0" w:firstRowFirstColumn="0" w:firstRowLastColumn="0" w:lastRowFirstColumn="0" w:lastRowLastColumn="0"/>
              <w:rPr>
                <w:rFonts w:ascii="HelveticaNeueLT Std Cn" w:hAnsi="HelveticaNeueLT Std Cn"/>
              </w:rPr>
            </w:pPr>
            <w:r w:rsidRPr="00BF20A5">
              <w:rPr>
                <w:rFonts w:ascii="HelveticaNeueLT Std Cn" w:hAnsi="HelveticaNeueLT Std Cn"/>
              </w:rPr>
              <w:t>1,73</w:t>
            </w:r>
          </w:p>
        </w:tc>
        <w:tc>
          <w:tcPr>
            <w:tcW w:w="851" w:type="dxa"/>
          </w:tcPr>
          <w:p w14:paraId="175CE209" w14:textId="77777777" w:rsidR="00670AD3" w:rsidRPr="00BF20A5" w:rsidRDefault="00670AD3" w:rsidP="00EE443A">
            <w:pPr>
              <w:cnfStyle w:val="000000100000" w:firstRow="0" w:lastRow="0" w:firstColumn="0" w:lastColumn="0" w:oddVBand="0" w:evenVBand="0" w:oddHBand="1" w:evenHBand="0" w:firstRowFirstColumn="0" w:firstRowLastColumn="0" w:lastRowFirstColumn="0" w:lastRowLastColumn="0"/>
              <w:rPr>
                <w:rFonts w:ascii="HelveticaNeueLT Std Cn" w:hAnsi="HelveticaNeueLT Std Cn"/>
              </w:rPr>
            </w:pPr>
            <w:r w:rsidRPr="00BF20A5">
              <w:rPr>
                <w:rFonts w:ascii="HelveticaNeueLT Std Cn" w:hAnsi="HelveticaNeueLT Std Cn"/>
              </w:rPr>
              <w:t>1,61</w:t>
            </w:r>
          </w:p>
        </w:tc>
      </w:tr>
    </w:tbl>
    <w:p w14:paraId="3E7100D3" w14:textId="77777777" w:rsidR="00670AD3" w:rsidRDefault="00670AD3" w:rsidP="00670AD3">
      <w:pPr>
        <w:ind w:left="567"/>
        <w:rPr>
          <w:rFonts w:ascii="HelveticaNeueLT Std Cn" w:hAnsi="HelveticaNeueLT Std Cn"/>
          <w:b/>
          <w:i/>
          <w:sz w:val="16"/>
          <w:szCs w:val="20"/>
        </w:rPr>
      </w:pPr>
    </w:p>
    <w:p w14:paraId="0E127C37" w14:textId="7B9FD9BC" w:rsidR="00670AD3" w:rsidRPr="00670AD3" w:rsidRDefault="00670AD3" w:rsidP="00670AD3">
      <w:pPr>
        <w:ind w:left="567"/>
        <w:rPr>
          <w:rFonts w:ascii="HelveticaNeueLT Std Cn" w:hAnsi="HelveticaNeueLT Std Cn"/>
          <w:i/>
          <w:sz w:val="16"/>
          <w:szCs w:val="20"/>
        </w:rPr>
      </w:pPr>
      <w:r w:rsidRPr="00670AD3">
        <w:rPr>
          <w:rFonts w:ascii="HelveticaNeueLT Std Cn" w:hAnsi="HelveticaNeueLT Std Cn"/>
          <w:i/>
          <w:sz w:val="16"/>
          <w:szCs w:val="20"/>
        </w:rPr>
        <w:t xml:space="preserve">Bron: Eigen bewerking toelichting wijziging MJP Mechelen nr.14 </w:t>
      </w:r>
    </w:p>
    <w:p w14:paraId="12441882" w14:textId="74B5007E" w:rsidR="00664143" w:rsidRDefault="00664143" w:rsidP="001B7DDF">
      <w:pPr>
        <w:tabs>
          <w:tab w:val="left" w:pos="8304"/>
        </w:tabs>
      </w:pPr>
    </w:p>
    <w:p w14:paraId="01DC5B81" w14:textId="3966F526" w:rsidR="00664143" w:rsidRDefault="00664143" w:rsidP="00664143">
      <w:pPr>
        <w:pStyle w:val="N-VASubtitel"/>
      </w:pPr>
      <w:r>
        <w:t>Vorige legislatuur</w:t>
      </w:r>
    </w:p>
    <w:p w14:paraId="3C1F4615" w14:textId="77777777" w:rsidR="0027714F" w:rsidRDefault="0027714F" w:rsidP="00664143">
      <w:pPr>
        <w:tabs>
          <w:tab w:val="left" w:pos="8304"/>
        </w:tabs>
        <w:rPr>
          <w:rFonts w:ascii="Book Antiqua" w:hAnsi="Book Antiqua"/>
          <w:color w:val="000000" w:themeColor="text1"/>
          <w:sz w:val="24"/>
          <w:szCs w:val="24"/>
        </w:rPr>
      </w:pPr>
    </w:p>
    <w:p w14:paraId="69C21764" w14:textId="1E87DE7F" w:rsidR="00835967" w:rsidRPr="00835967" w:rsidRDefault="00835967" w:rsidP="00835967">
      <w:pPr>
        <w:tabs>
          <w:tab w:val="left" w:pos="8304"/>
        </w:tabs>
        <w:rPr>
          <w:rFonts w:ascii="Book Antiqua" w:hAnsi="Book Antiqua"/>
          <w:color w:val="000000" w:themeColor="text1"/>
          <w:sz w:val="24"/>
          <w:szCs w:val="24"/>
        </w:rPr>
      </w:pPr>
      <w:r w:rsidRPr="00835967">
        <w:rPr>
          <w:rFonts w:ascii="Book Antiqua" w:hAnsi="Book Antiqua"/>
          <w:color w:val="000000" w:themeColor="text1"/>
          <w:sz w:val="24"/>
          <w:szCs w:val="24"/>
        </w:rPr>
        <w:t xml:space="preserve">N-VA </w:t>
      </w:r>
      <w:r w:rsidR="008E5D38">
        <w:rPr>
          <w:rFonts w:ascii="Book Antiqua" w:hAnsi="Book Antiqua"/>
          <w:color w:val="000000" w:themeColor="text1"/>
          <w:sz w:val="24"/>
          <w:szCs w:val="24"/>
        </w:rPr>
        <w:t xml:space="preserve">Mechelen </w:t>
      </w:r>
      <w:r w:rsidRPr="00835967">
        <w:rPr>
          <w:rFonts w:ascii="Book Antiqua" w:hAnsi="Book Antiqua"/>
          <w:color w:val="000000" w:themeColor="text1"/>
          <w:sz w:val="24"/>
          <w:szCs w:val="24"/>
        </w:rPr>
        <w:t xml:space="preserve">trok reeds tijdens de lopende legislatuur aan de kar om het </w:t>
      </w:r>
      <w:proofErr w:type="spellStart"/>
      <w:r w:rsidRPr="00835967">
        <w:rPr>
          <w:rFonts w:ascii="Book Antiqua" w:hAnsi="Book Antiqua"/>
          <w:color w:val="000000" w:themeColor="text1"/>
          <w:sz w:val="24"/>
          <w:szCs w:val="24"/>
        </w:rPr>
        <w:t>schuldtij</w:t>
      </w:r>
      <w:proofErr w:type="spellEnd"/>
      <w:r w:rsidRPr="00835967">
        <w:rPr>
          <w:rFonts w:ascii="Book Antiqua" w:hAnsi="Book Antiqua"/>
          <w:color w:val="000000" w:themeColor="text1"/>
          <w:sz w:val="24"/>
          <w:szCs w:val="24"/>
        </w:rPr>
        <w:t xml:space="preserve"> te keren. Daarbij was het voor ons van primordiaal belang dat het geld niet gehaald werd bij de mensen die reeds in Mechelen investeerden. Integendeel zelfs, we verlegden de </w:t>
      </w:r>
      <w:r w:rsidRPr="00571EAF">
        <w:rPr>
          <w:rFonts w:ascii="Book Antiqua" w:hAnsi="Book Antiqua"/>
          <w:b/>
          <w:color w:val="000000" w:themeColor="text1"/>
          <w:sz w:val="24"/>
          <w:szCs w:val="24"/>
        </w:rPr>
        <w:t>opcentiemen van 1550 naar 1490</w:t>
      </w:r>
      <w:r w:rsidRPr="00835967">
        <w:rPr>
          <w:rFonts w:ascii="Book Antiqua" w:hAnsi="Book Antiqua"/>
          <w:color w:val="000000" w:themeColor="text1"/>
          <w:sz w:val="24"/>
          <w:szCs w:val="24"/>
        </w:rPr>
        <w:t xml:space="preserve"> </w:t>
      </w:r>
      <w:r w:rsidR="00571EAF" w:rsidRPr="00571EAF">
        <w:rPr>
          <w:rFonts w:ascii="Book Antiqua" w:hAnsi="Book Antiqua"/>
          <w:color w:val="000000" w:themeColor="text1"/>
          <w:sz w:val="24"/>
          <w:szCs w:val="24"/>
        </w:rPr>
        <w:t>en deden</w:t>
      </w:r>
      <w:r w:rsidR="00571EAF">
        <w:rPr>
          <w:rFonts w:ascii="Book Antiqua" w:hAnsi="Book Antiqua"/>
          <w:b/>
          <w:color w:val="000000" w:themeColor="text1"/>
          <w:sz w:val="24"/>
          <w:szCs w:val="24"/>
        </w:rPr>
        <w:t xml:space="preserve"> </w:t>
      </w:r>
      <w:r w:rsidRPr="008E5D38">
        <w:rPr>
          <w:rFonts w:ascii="Book Antiqua" w:hAnsi="Book Antiqua"/>
          <w:b/>
          <w:color w:val="000000" w:themeColor="text1"/>
          <w:sz w:val="24"/>
          <w:szCs w:val="24"/>
        </w:rPr>
        <w:t xml:space="preserve"> de personenbelasting tot 7,4% daalde</w:t>
      </w:r>
      <w:r w:rsidRPr="00835967">
        <w:rPr>
          <w:rFonts w:ascii="Book Antiqua" w:hAnsi="Book Antiqua"/>
          <w:color w:val="000000" w:themeColor="text1"/>
          <w:sz w:val="24"/>
          <w:szCs w:val="24"/>
        </w:rPr>
        <w:t xml:space="preserve">. Ook werden de algemene gemeentebelasting en de belasting op bedrijfsruimtes voor </w:t>
      </w:r>
      <w:r w:rsidR="008E5D38">
        <w:rPr>
          <w:rFonts w:ascii="Book Antiqua" w:hAnsi="Book Antiqua"/>
          <w:color w:val="000000" w:themeColor="text1"/>
          <w:sz w:val="24"/>
          <w:szCs w:val="24"/>
        </w:rPr>
        <w:t>wie van thuis uit werkt</w:t>
      </w:r>
      <w:r w:rsidRPr="00835967">
        <w:rPr>
          <w:rFonts w:ascii="Book Antiqua" w:hAnsi="Book Antiqua"/>
          <w:color w:val="000000" w:themeColor="text1"/>
          <w:sz w:val="24"/>
          <w:szCs w:val="24"/>
        </w:rPr>
        <w:t xml:space="preserve"> geschrapt. Hoge belastin</w:t>
      </w:r>
      <w:r w:rsidR="008E5D38">
        <w:rPr>
          <w:rFonts w:ascii="Book Antiqua" w:hAnsi="Book Antiqua"/>
          <w:color w:val="000000" w:themeColor="text1"/>
          <w:sz w:val="24"/>
          <w:szCs w:val="24"/>
        </w:rPr>
        <w:t>gen staan haaks op sociaal</w:t>
      </w:r>
      <w:r w:rsidRPr="00835967">
        <w:rPr>
          <w:rFonts w:ascii="Book Antiqua" w:hAnsi="Book Antiqua"/>
          <w:color w:val="000000" w:themeColor="text1"/>
          <w:sz w:val="24"/>
          <w:szCs w:val="24"/>
        </w:rPr>
        <w:t>–economische vooruitgang. Dat geldt echter ook voor een toenemende schuldpositie.</w:t>
      </w:r>
    </w:p>
    <w:p w14:paraId="03D5308C" w14:textId="030112C4" w:rsidR="00664143" w:rsidRPr="00664143" w:rsidRDefault="000B2884" w:rsidP="00664143">
      <w:pPr>
        <w:tabs>
          <w:tab w:val="left" w:pos="8304"/>
        </w:tabs>
        <w:rPr>
          <w:rFonts w:ascii="Book Antiqua" w:hAnsi="Book Antiqua"/>
          <w:color w:val="000000" w:themeColor="text1"/>
          <w:sz w:val="24"/>
          <w:szCs w:val="24"/>
        </w:rPr>
      </w:pPr>
      <w:r>
        <w:rPr>
          <w:rFonts w:ascii="Book Antiqua" w:hAnsi="Book Antiqua"/>
          <w:color w:val="000000" w:themeColor="text1"/>
          <w:sz w:val="24"/>
          <w:szCs w:val="24"/>
        </w:rPr>
        <w:t>Dankzij de N-VA</w:t>
      </w:r>
      <w:r w:rsidR="00664143" w:rsidRPr="00664143">
        <w:rPr>
          <w:rFonts w:ascii="Book Antiqua" w:hAnsi="Book Antiqua"/>
          <w:color w:val="000000" w:themeColor="text1"/>
          <w:sz w:val="24"/>
          <w:szCs w:val="24"/>
        </w:rPr>
        <w:t xml:space="preserve"> </w:t>
      </w:r>
      <w:r w:rsidR="00664143" w:rsidRPr="000B2884">
        <w:rPr>
          <w:rFonts w:ascii="Book Antiqua" w:hAnsi="Book Antiqua"/>
          <w:b/>
          <w:color w:val="000000" w:themeColor="text1"/>
          <w:sz w:val="24"/>
          <w:szCs w:val="24"/>
        </w:rPr>
        <w:t xml:space="preserve">bespaarden </w:t>
      </w:r>
      <w:r>
        <w:rPr>
          <w:rFonts w:ascii="Book Antiqua" w:hAnsi="Book Antiqua"/>
          <w:b/>
          <w:color w:val="000000" w:themeColor="text1"/>
          <w:sz w:val="24"/>
          <w:szCs w:val="24"/>
        </w:rPr>
        <w:t xml:space="preserve">we </w:t>
      </w:r>
      <w:r w:rsidR="00664143" w:rsidRPr="000B2884">
        <w:rPr>
          <w:rFonts w:ascii="Book Antiqua" w:hAnsi="Book Antiqua"/>
          <w:b/>
          <w:color w:val="000000" w:themeColor="text1"/>
          <w:sz w:val="24"/>
          <w:szCs w:val="24"/>
        </w:rPr>
        <w:t>ook historisch veel op het eigen orgaan</w:t>
      </w:r>
      <w:r w:rsidR="00664143" w:rsidRPr="00664143">
        <w:rPr>
          <w:rFonts w:ascii="Book Antiqua" w:hAnsi="Book Antiqua"/>
          <w:color w:val="000000" w:themeColor="text1"/>
          <w:sz w:val="24"/>
          <w:szCs w:val="24"/>
        </w:rPr>
        <w:t>. In 2013 startten we die oefening al. We implementeerden nieuwe technologie</w:t>
      </w:r>
      <w:r>
        <w:rPr>
          <w:rFonts w:ascii="Book Antiqua" w:hAnsi="Book Antiqua"/>
          <w:color w:val="000000" w:themeColor="text1"/>
          <w:sz w:val="24"/>
          <w:szCs w:val="24"/>
        </w:rPr>
        <w:t xml:space="preserve">ën en maakten op die manier </w:t>
      </w:r>
      <w:r w:rsidR="00664143" w:rsidRPr="00664143">
        <w:rPr>
          <w:rFonts w:ascii="Book Antiqua" w:hAnsi="Book Antiqua"/>
          <w:color w:val="000000" w:themeColor="text1"/>
          <w:sz w:val="24"/>
          <w:szCs w:val="24"/>
        </w:rPr>
        <w:t xml:space="preserve">onze diensten performanter. Zo zorgden het werken op afspraak </w:t>
      </w:r>
      <w:r w:rsidRPr="00F63D12">
        <w:rPr>
          <w:rFonts w:ascii="Book Antiqua" w:hAnsi="Book Antiqua"/>
          <w:color w:val="000000" w:themeColor="text1"/>
          <w:sz w:val="24"/>
          <w:szCs w:val="24"/>
        </w:rPr>
        <w:t xml:space="preserve">in het Huis van de </w:t>
      </w:r>
      <w:proofErr w:type="spellStart"/>
      <w:r w:rsidRPr="00F63D12">
        <w:rPr>
          <w:rFonts w:ascii="Book Antiqua" w:hAnsi="Book Antiqua"/>
          <w:color w:val="000000" w:themeColor="text1"/>
          <w:sz w:val="24"/>
          <w:szCs w:val="24"/>
        </w:rPr>
        <w:t>Mechelaar</w:t>
      </w:r>
      <w:proofErr w:type="spellEnd"/>
      <w:r>
        <w:rPr>
          <w:rFonts w:ascii="Book Antiqua" w:hAnsi="Book Antiqua"/>
          <w:color w:val="000000" w:themeColor="text1"/>
          <w:sz w:val="24"/>
          <w:szCs w:val="24"/>
        </w:rPr>
        <w:t xml:space="preserve"> </w:t>
      </w:r>
      <w:r w:rsidR="00664143" w:rsidRPr="00664143">
        <w:rPr>
          <w:rFonts w:ascii="Book Antiqua" w:hAnsi="Book Antiqua"/>
          <w:color w:val="000000" w:themeColor="text1"/>
          <w:sz w:val="24"/>
          <w:szCs w:val="24"/>
        </w:rPr>
        <w:t xml:space="preserve">en de reorganisatie van verschillende </w:t>
      </w:r>
      <w:r>
        <w:rPr>
          <w:rFonts w:ascii="Book Antiqua" w:hAnsi="Book Antiqua"/>
          <w:color w:val="000000" w:themeColor="text1"/>
          <w:sz w:val="24"/>
          <w:szCs w:val="24"/>
        </w:rPr>
        <w:t>stads</w:t>
      </w:r>
      <w:r w:rsidR="00664143" w:rsidRPr="00664143">
        <w:rPr>
          <w:rFonts w:ascii="Book Antiqua" w:hAnsi="Book Antiqua"/>
          <w:color w:val="000000" w:themeColor="text1"/>
          <w:sz w:val="24"/>
          <w:szCs w:val="24"/>
        </w:rPr>
        <w:t xml:space="preserve">diensten voor een betere indeling van personeel. </w:t>
      </w:r>
    </w:p>
    <w:p w14:paraId="24B41F29" w14:textId="7A302683" w:rsidR="00664143" w:rsidRPr="00664143" w:rsidRDefault="00664143" w:rsidP="00664143">
      <w:pPr>
        <w:tabs>
          <w:tab w:val="left" w:pos="8304"/>
        </w:tabs>
        <w:rPr>
          <w:rFonts w:ascii="Book Antiqua" w:hAnsi="Book Antiqua"/>
          <w:color w:val="000000" w:themeColor="text1"/>
          <w:sz w:val="24"/>
          <w:szCs w:val="24"/>
        </w:rPr>
      </w:pPr>
      <w:bookmarkStart w:id="0" w:name="_Hlk523931119"/>
      <w:r w:rsidRPr="00664143">
        <w:rPr>
          <w:rFonts w:ascii="Book Antiqua" w:hAnsi="Book Antiqua"/>
          <w:color w:val="000000" w:themeColor="text1"/>
          <w:sz w:val="24"/>
          <w:szCs w:val="24"/>
        </w:rPr>
        <w:t xml:space="preserve">Ook in </w:t>
      </w:r>
      <w:r w:rsidRPr="000B2884">
        <w:rPr>
          <w:rFonts w:ascii="Book Antiqua" w:hAnsi="Book Antiqua"/>
          <w:b/>
          <w:color w:val="000000" w:themeColor="text1"/>
          <w:sz w:val="24"/>
          <w:szCs w:val="24"/>
        </w:rPr>
        <w:t>het beheer van vastgoed</w:t>
      </w:r>
      <w:r w:rsidRPr="00664143">
        <w:rPr>
          <w:rFonts w:ascii="Book Antiqua" w:hAnsi="Book Antiqua"/>
          <w:color w:val="000000" w:themeColor="text1"/>
          <w:sz w:val="24"/>
          <w:szCs w:val="24"/>
        </w:rPr>
        <w:t xml:space="preserve"> was</w:t>
      </w:r>
      <w:r w:rsidR="000B2884">
        <w:rPr>
          <w:rFonts w:ascii="Book Antiqua" w:hAnsi="Book Antiqua"/>
          <w:color w:val="000000" w:themeColor="text1"/>
          <w:sz w:val="24"/>
          <w:szCs w:val="24"/>
        </w:rPr>
        <w:t xml:space="preserve"> de invloed van de N-VA </w:t>
      </w:r>
      <w:r w:rsidRPr="00664143">
        <w:rPr>
          <w:rFonts w:ascii="Book Antiqua" w:hAnsi="Book Antiqua"/>
          <w:color w:val="000000" w:themeColor="text1"/>
          <w:sz w:val="24"/>
          <w:szCs w:val="24"/>
        </w:rPr>
        <w:t xml:space="preserve">duidelijk te merken. De </w:t>
      </w:r>
      <w:proofErr w:type="spellStart"/>
      <w:r w:rsidRPr="00664143">
        <w:rPr>
          <w:rFonts w:ascii="Book Antiqua" w:hAnsi="Book Antiqua"/>
          <w:color w:val="000000" w:themeColor="text1"/>
          <w:sz w:val="24"/>
          <w:szCs w:val="24"/>
        </w:rPr>
        <w:t>Nekkerhal</w:t>
      </w:r>
      <w:proofErr w:type="spellEnd"/>
      <w:r w:rsidRPr="00664143">
        <w:rPr>
          <w:rFonts w:ascii="Book Antiqua" w:hAnsi="Book Antiqua"/>
          <w:color w:val="000000" w:themeColor="text1"/>
          <w:sz w:val="24"/>
          <w:szCs w:val="24"/>
        </w:rPr>
        <w:t xml:space="preserve"> werd op vraag </w:t>
      </w:r>
      <w:r w:rsidR="000B2884">
        <w:rPr>
          <w:rFonts w:ascii="Book Antiqua" w:hAnsi="Book Antiqua"/>
          <w:color w:val="000000" w:themeColor="text1"/>
          <w:sz w:val="24"/>
          <w:szCs w:val="24"/>
        </w:rPr>
        <w:t xml:space="preserve">van de N-VA </w:t>
      </w:r>
      <w:r w:rsidRPr="00664143">
        <w:rPr>
          <w:rFonts w:ascii="Book Antiqua" w:hAnsi="Book Antiqua"/>
          <w:color w:val="000000" w:themeColor="text1"/>
          <w:sz w:val="24"/>
          <w:szCs w:val="24"/>
        </w:rPr>
        <w:t>niet meteen verkocht aan de zittende huurder</w:t>
      </w:r>
      <w:r w:rsidR="002E7FD2">
        <w:rPr>
          <w:rFonts w:ascii="Book Antiqua" w:hAnsi="Book Antiqua"/>
          <w:color w:val="000000" w:themeColor="text1"/>
          <w:sz w:val="24"/>
          <w:szCs w:val="24"/>
        </w:rPr>
        <w:t xml:space="preserve">. </w:t>
      </w:r>
    </w:p>
    <w:bookmarkEnd w:id="0"/>
    <w:p w14:paraId="2D1C397E" w14:textId="24427603" w:rsidR="00664143" w:rsidRPr="00664143" w:rsidRDefault="000B2884" w:rsidP="00664143">
      <w:pPr>
        <w:tabs>
          <w:tab w:val="left" w:pos="8304"/>
        </w:tabs>
        <w:rPr>
          <w:rFonts w:ascii="Book Antiqua" w:hAnsi="Book Antiqua"/>
          <w:color w:val="000000" w:themeColor="text1"/>
          <w:sz w:val="24"/>
          <w:szCs w:val="24"/>
        </w:rPr>
      </w:pPr>
      <w:r>
        <w:rPr>
          <w:rFonts w:ascii="Book Antiqua" w:hAnsi="Book Antiqua"/>
          <w:color w:val="000000" w:themeColor="text1"/>
          <w:sz w:val="24"/>
          <w:szCs w:val="24"/>
        </w:rPr>
        <w:t>Bovendien</w:t>
      </w:r>
      <w:r w:rsidR="00664143" w:rsidRPr="00664143">
        <w:rPr>
          <w:rFonts w:ascii="Book Antiqua" w:hAnsi="Book Antiqua"/>
          <w:color w:val="000000" w:themeColor="text1"/>
          <w:sz w:val="24"/>
          <w:szCs w:val="24"/>
        </w:rPr>
        <w:t xml:space="preserve"> </w:t>
      </w:r>
      <w:r>
        <w:rPr>
          <w:rFonts w:ascii="Book Antiqua" w:hAnsi="Book Antiqua"/>
          <w:color w:val="000000" w:themeColor="text1"/>
          <w:sz w:val="24"/>
          <w:szCs w:val="24"/>
        </w:rPr>
        <w:t>was de N-VA in het college van burgemeester en s</w:t>
      </w:r>
      <w:r w:rsidR="00664143" w:rsidRPr="00664143">
        <w:rPr>
          <w:rFonts w:ascii="Book Antiqua" w:hAnsi="Book Antiqua"/>
          <w:color w:val="000000" w:themeColor="text1"/>
          <w:sz w:val="24"/>
          <w:szCs w:val="24"/>
        </w:rPr>
        <w:t xml:space="preserve">chepenen </w:t>
      </w:r>
      <w:r>
        <w:rPr>
          <w:rFonts w:ascii="Book Antiqua" w:hAnsi="Book Antiqua"/>
          <w:color w:val="000000" w:themeColor="text1"/>
          <w:sz w:val="24"/>
          <w:szCs w:val="24"/>
        </w:rPr>
        <w:t xml:space="preserve">ook </w:t>
      </w:r>
      <w:r w:rsidR="00664143" w:rsidRPr="00664143">
        <w:rPr>
          <w:rFonts w:ascii="Book Antiqua" w:hAnsi="Book Antiqua"/>
          <w:color w:val="000000" w:themeColor="text1"/>
          <w:sz w:val="24"/>
          <w:szCs w:val="24"/>
        </w:rPr>
        <w:t>de stem van de rede</w:t>
      </w:r>
      <w:r>
        <w:rPr>
          <w:rFonts w:ascii="Book Antiqua" w:hAnsi="Book Antiqua"/>
          <w:color w:val="000000" w:themeColor="text1"/>
          <w:sz w:val="24"/>
          <w:szCs w:val="24"/>
        </w:rPr>
        <w:t xml:space="preserve"> </w:t>
      </w:r>
      <w:r w:rsidRPr="000B2884">
        <w:rPr>
          <w:rFonts w:ascii="Book Antiqua" w:hAnsi="Book Antiqua"/>
          <w:b/>
          <w:color w:val="000000" w:themeColor="text1"/>
          <w:sz w:val="24"/>
          <w:szCs w:val="24"/>
        </w:rPr>
        <w:t>wat de uitgaven betreft</w:t>
      </w:r>
      <w:r w:rsidR="00664143" w:rsidRPr="00664143">
        <w:rPr>
          <w:rFonts w:ascii="Book Antiqua" w:hAnsi="Book Antiqua"/>
          <w:color w:val="000000" w:themeColor="text1"/>
          <w:sz w:val="24"/>
          <w:szCs w:val="24"/>
        </w:rPr>
        <w:t xml:space="preserve">. Zo </w:t>
      </w:r>
      <w:r>
        <w:rPr>
          <w:rFonts w:ascii="Book Antiqua" w:hAnsi="Book Antiqua"/>
          <w:color w:val="000000" w:themeColor="text1"/>
          <w:sz w:val="24"/>
          <w:szCs w:val="24"/>
        </w:rPr>
        <w:t xml:space="preserve">hielden we </w:t>
      </w:r>
      <w:r w:rsidR="00664143" w:rsidRPr="00664143">
        <w:rPr>
          <w:rFonts w:ascii="Book Antiqua" w:hAnsi="Book Antiqua"/>
          <w:color w:val="000000" w:themeColor="text1"/>
          <w:sz w:val="24"/>
          <w:szCs w:val="24"/>
        </w:rPr>
        <w:t xml:space="preserve">de aankoop van het park aan de </w:t>
      </w:r>
      <w:proofErr w:type="spellStart"/>
      <w:r w:rsidR="00664143" w:rsidRPr="00664143">
        <w:rPr>
          <w:rFonts w:ascii="Book Antiqua" w:hAnsi="Book Antiqua"/>
          <w:color w:val="000000" w:themeColor="text1"/>
          <w:sz w:val="24"/>
          <w:szCs w:val="24"/>
        </w:rPr>
        <w:t>Dijle</w:t>
      </w:r>
      <w:proofErr w:type="spellEnd"/>
      <w:r w:rsidR="00664143" w:rsidRPr="00664143">
        <w:rPr>
          <w:rFonts w:ascii="Book Antiqua" w:hAnsi="Book Antiqua"/>
          <w:color w:val="000000" w:themeColor="text1"/>
          <w:sz w:val="24"/>
          <w:szCs w:val="24"/>
        </w:rPr>
        <w:t xml:space="preserve"> en de </w:t>
      </w:r>
      <w:proofErr w:type="spellStart"/>
      <w:r w:rsidR="00664143" w:rsidRPr="00664143">
        <w:rPr>
          <w:rFonts w:ascii="Book Antiqua" w:hAnsi="Book Antiqua"/>
          <w:color w:val="000000" w:themeColor="text1"/>
          <w:sz w:val="24"/>
          <w:szCs w:val="24"/>
        </w:rPr>
        <w:t>Nekker</w:t>
      </w:r>
      <w:proofErr w:type="spellEnd"/>
      <w:r w:rsidR="00664143" w:rsidRPr="00664143">
        <w:rPr>
          <w:rFonts w:ascii="Book Antiqua" w:hAnsi="Book Antiqua"/>
          <w:color w:val="000000" w:themeColor="text1"/>
          <w:sz w:val="24"/>
          <w:szCs w:val="24"/>
        </w:rPr>
        <w:t xml:space="preserve"> (kasteeltje </w:t>
      </w:r>
      <w:r w:rsidR="001E6E98">
        <w:rPr>
          <w:rFonts w:ascii="Book Antiqua" w:hAnsi="Book Antiqua"/>
          <w:color w:val="000000" w:themeColor="text1"/>
          <w:sz w:val="24"/>
          <w:szCs w:val="24"/>
        </w:rPr>
        <w:t xml:space="preserve">De </w:t>
      </w:r>
      <w:proofErr w:type="spellStart"/>
      <w:r w:rsidR="001E6E98">
        <w:rPr>
          <w:rFonts w:ascii="Book Antiqua" w:hAnsi="Book Antiqua"/>
          <w:color w:val="000000" w:themeColor="text1"/>
          <w:sz w:val="24"/>
          <w:szCs w:val="24"/>
        </w:rPr>
        <w:t>Borght</w:t>
      </w:r>
      <w:proofErr w:type="spellEnd"/>
      <w:r w:rsidR="00664143" w:rsidRPr="00664143">
        <w:rPr>
          <w:rFonts w:ascii="Book Antiqua" w:hAnsi="Book Antiqua"/>
          <w:color w:val="000000" w:themeColor="text1"/>
          <w:sz w:val="24"/>
          <w:szCs w:val="24"/>
        </w:rPr>
        <w:t xml:space="preserve">) tegen omdat de aankoopprijs </w:t>
      </w:r>
      <w:r>
        <w:rPr>
          <w:rFonts w:ascii="Book Antiqua" w:hAnsi="Book Antiqua"/>
          <w:color w:val="000000" w:themeColor="text1"/>
          <w:sz w:val="24"/>
          <w:szCs w:val="24"/>
        </w:rPr>
        <w:t xml:space="preserve">te hoog </w:t>
      </w:r>
      <w:r w:rsidR="00664143" w:rsidRPr="00664143">
        <w:rPr>
          <w:rFonts w:ascii="Book Antiqua" w:hAnsi="Book Antiqua"/>
          <w:color w:val="000000" w:themeColor="text1"/>
          <w:sz w:val="24"/>
          <w:szCs w:val="24"/>
        </w:rPr>
        <w:t xml:space="preserve">en het onderhoud te duur zijn. </w:t>
      </w:r>
    </w:p>
    <w:p w14:paraId="2090E331" w14:textId="77777777" w:rsidR="000B2884" w:rsidRDefault="000B2884" w:rsidP="000B2884">
      <w:pPr>
        <w:rPr>
          <w:rFonts w:ascii="Book Antiqua" w:hAnsi="Book Antiqua"/>
          <w:color w:val="000000" w:themeColor="text1"/>
          <w:sz w:val="24"/>
          <w:szCs w:val="24"/>
        </w:rPr>
      </w:pPr>
      <w:r>
        <w:rPr>
          <w:rFonts w:ascii="Book Antiqua" w:hAnsi="Book Antiqua"/>
          <w:color w:val="000000" w:themeColor="text1"/>
          <w:sz w:val="24"/>
          <w:szCs w:val="24"/>
        </w:rPr>
        <w:t>E</w:t>
      </w:r>
      <w:r w:rsidR="00664143" w:rsidRPr="00664143">
        <w:rPr>
          <w:rFonts w:ascii="Book Antiqua" w:hAnsi="Book Antiqua"/>
          <w:color w:val="000000" w:themeColor="text1"/>
          <w:sz w:val="24"/>
          <w:szCs w:val="24"/>
        </w:rPr>
        <w:t xml:space="preserve">en ander voorbeeld is de bestemming van de site </w:t>
      </w:r>
      <w:proofErr w:type="spellStart"/>
      <w:r w:rsidR="00664143" w:rsidRPr="00664143">
        <w:rPr>
          <w:rFonts w:ascii="Book Antiqua" w:hAnsi="Book Antiqua"/>
          <w:color w:val="000000" w:themeColor="text1"/>
          <w:sz w:val="24"/>
          <w:szCs w:val="24"/>
        </w:rPr>
        <w:t>Geerdegemvaart</w:t>
      </w:r>
      <w:proofErr w:type="spellEnd"/>
      <w:r w:rsidR="00664143" w:rsidRPr="00664143">
        <w:rPr>
          <w:rFonts w:ascii="Book Antiqua" w:hAnsi="Book Antiqua"/>
          <w:color w:val="000000" w:themeColor="text1"/>
          <w:sz w:val="24"/>
          <w:szCs w:val="24"/>
        </w:rPr>
        <w:t>. De bouwgrond waar het zwembad staat, zou volgens de Stadslijst een prima park kunnen worden</w:t>
      </w:r>
      <w:r>
        <w:rPr>
          <w:rFonts w:ascii="Book Antiqua" w:hAnsi="Book Antiqua"/>
          <w:color w:val="000000" w:themeColor="text1"/>
          <w:sz w:val="24"/>
          <w:szCs w:val="24"/>
        </w:rPr>
        <w:t xml:space="preserve"> …</w:t>
      </w:r>
      <w:r w:rsidR="00664143" w:rsidRPr="00664143">
        <w:rPr>
          <w:rFonts w:ascii="Book Antiqua" w:hAnsi="Book Antiqua"/>
          <w:color w:val="000000" w:themeColor="text1"/>
          <w:sz w:val="24"/>
          <w:szCs w:val="24"/>
        </w:rPr>
        <w:t xml:space="preserve"> </w:t>
      </w:r>
      <w:r>
        <w:rPr>
          <w:rFonts w:ascii="Book Antiqua" w:hAnsi="Book Antiqua"/>
          <w:color w:val="000000" w:themeColor="text1"/>
          <w:sz w:val="24"/>
          <w:szCs w:val="24"/>
        </w:rPr>
        <w:t>maar ook h</w:t>
      </w:r>
      <w:r w:rsidR="00664143" w:rsidRPr="00664143">
        <w:rPr>
          <w:rFonts w:ascii="Book Antiqua" w:hAnsi="Book Antiqua"/>
          <w:color w:val="000000" w:themeColor="text1"/>
          <w:sz w:val="24"/>
          <w:szCs w:val="24"/>
        </w:rPr>
        <w:t>et duurste dat Mechelen heeft</w:t>
      </w:r>
      <w:r>
        <w:rPr>
          <w:rFonts w:ascii="Book Antiqua" w:hAnsi="Book Antiqua"/>
          <w:color w:val="000000" w:themeColor="text1"/>
          <w:sz w:val="24"/>
          <w:szCs w:val="24"/>
        </w:rPr>
        <w:t>,</w:t>
      </w:r>
      <w:r w:rsidR="00664143" w:rsidRPr="00664143">
        <w:rPr>
          <w:rFonts w:ascii="Book Antiqua" w:hAnsi="Book Antiqua"/>
          <w:color w:val="000000" w:themeColor="text1"/>
          <w:sz w:val="24"/>
          <w:szCs w:val="24"/>
        </w:rPr>
        <w:t xml:space="preserve"> allicht. </w:t>
      </w:r>
    </w:p>
    <w:p w14:paraId="2ED66932" w14:textId="705D4F43" w:rsidR="00664143" w:rsidRPr="00664143" w:rsidRDefault="000B2884" w:rsidP="000B2884">
      <w:pPr>
        <w:rPr>
          <w:rFonts w:ascii="Book Antiqua" w:hAnsi="Book Antiqua"/>
          <w:color w:val="000000" w:themeColor="text1"/>
          <w:sz w:val="24"/>
          <w:szCs w:val="24"/>
        </w:rPr>
      </w:pPr>
      <w:r>
        <w:rPr>
          <w:rFonts w:ascii="Book Antiqua" w:hAnsi="Book Antiqua"/>
          <w:color w:val="000000" w:themeColor="text1"/>
          <w:sz w:val="24"/>
          <w:szCs w:val="24"/>
        </w:rPr>
        <w:t xml:space="preserve">Tot slot </w:t>
      </w:r>
      <w:r w:rsidR="00664143" w:rsidRPr="00664143">
        <w:rPr>
          <w:rFonts w:ascii="Book Antiqua" w:hAnsi="Book Antiqua"/>
          <w:color w:val="000000" w:themeColor="text1"/>
          <w:sz w:val="24"/>
          <w:szCs w:val="24"/>
        </w:rPr>
        <w:t xml:space="preserve">was het dankzij de inzet van Marc Hendrickx dat verschillende </w:t>
      </w:r>
      <w:r w:rsidR="00664143" w:rsidRPr="000B2884">
        <w:rPr>
          <w:rFonts w:ascii="Book Antiqua" w:hAnsi="Book Antiqua"/>
          <w:b/>
          <w:color w:val="000000" w:themeColor="text1"/>
          <w:sz w:val="24"/>
          <w:szCs w:val="24"/>
        </w:rPr>
        <w:t>subsidiedossiers op Vlaams niveau</w:t>
      </w:r>
      <w:r w:rsidR="00664143" w:rsidRPr="00664143">
        <w:rPr>
          <w:rFonts w:ascii="Book Antiqua" w:hAnsi="Book Antiqua"/>
          <w:color w:val="000000" w:themeColor="text1"/>
          <w:sz w:val="24"/>
          <w:szCs w:val="24"/>
        </w:rPr>
        <w:t xml:space="preserve"> binnengehaald werden. Zo kwamen er bovenlokale middelen vrij voor sociale woningen, het capaciteitsprobleem in het lager onderwijs, de renovatie van de atletiekpiste De </w:t>
      </w:r>
      <w:proofErr w:type="spellStart"/>
      <w:r w:rsidR="00664143" w:rsidRPr="00664143">
        <w:rPr>
          <w:rFonts w:ascii="Book Antiqua" w:hAnsi="Book Antiqua"/>
          <w:color w:val="000000" w:themeColor="text1"/>
          <w:sz w:val="24"/>
          <w:szCs w:val="24"/>
        </w:rPr>
        <w:t>Nekker</w:t>
      </w:r>
      <w:proofErr w:type="spellEnd"/>
      <w:r w:rsidR="00664143" w:rsidRPr="00664143">
        <w:rPr>
          <w:rFonts w:ascii="Book Antiqua" w:hAnsi="Book Antiqua"/>
          <w:color w:val="000000" w:themeColor="text1"/>
          <w:sz w:val="24"/>
          <w:szCs w:val="24"/>
        </w:rPr>
        <w:t xml:space="preserve">, de ijsbaan aan de </w:t>
      </w:r>
      <w:proofErr w:type="spellStart"/>
      <w:r w:rsidR="00664143" w:rsidRPr="00664143">
        <w:rPr>
          <w:rFonts w:ascii="Book Antiqua" w:hAnsi="Book Antiqua"/>
          <w:color w:val="000000" w:themeColor="text1"/>
          <w:sz w:val="24"/>
          <w:szCs w:val="24"/>
        </w:rPr>
        <w:t>Nekker</w:t>
      </w:r>
      <w:proofErr w:type="spellEnd"/>
      <w:r w:rsidR="00664143" w:rsidRPr="00664143">
        <w:rPr>
          <w:rFonts w:ascii="Book Antiqua" w:hAnsi="Book Antiqua"/>
          <w:color w:val="000000" w:themeColor="text1"/>
          <w:sz w:val="24"/>
          <w:szCs w:val="24"/>
        </w:rPr>
        <w:t xml:space="preserve"> en de reno</w:t>
      </w:r>
      <w:r w:rsidR="0027714F">
        <w:rPr>
          <w:rFonts w:ascii="Book Antiqua" w:hAnsi="Book Antiqua"/>
          <w:color w:val="000000" w:themeColor="text1"/>
          <w:sz w:val="24"/>
          <w:szCs w:val="24"/>
        </w:rPr>
        <w:t xml:space="preserve">vatiedossiers van de kerken. </w:t>
      </w:r>
      <w:r w:rsidR="0027714F">
        <w:rPr>
          <w:rFonts w:ascii="Book Antiqua" w:hAnsi="Book Antiqua"/>
          <w:color w:val="000000" w:themeColor="text1"/>
          <w:sz w:val="24"/>
          <w:szCs w:val="24"/>
        </w:rPr>
        <w:lastRenderedPageBreak/>
        <w:t>O</w:t>
      </w:r>
      <w:r w:rsidR="00664143" w:rsidRPr="00664143">
        <w:rPr>
          <w:rFonts w:ascii="Book Antiqua" w:hAnsi="Book Antiqua"/>
          <w:color w:val="000000" w:themeColor="text1"/>
          <w:sz w:val="24"/>
          <w:szCs w:val="24"/>
        </w:rPr>
        <w:t xml:space="preserve">ok het vrijgeven van de gronden aan </w:t>
      </w:r>
      <w:proofErr w:type="spellStart"/>
      <w:r w:rsidR="00664143" w:rsidRPr="00664143">
        <w:rPr>
          <w:rFonts w:ascii="Book Antiqua" w:hAnsi="Book Antiqua"/>
          <w:color w:val="000000" w:themeColor="text1"/>
          <w:sz w:val="24"/>
          <w:szCs w:val="24"/>
        </w:rPr>
        <w:t>T</w:t>
      </w:r>
      <w:r w:rsidR="0027714F">
        <w:rPr>
          <w:rFonts w:ascii="Book Antiqua" w:hAnsi="Book Antiqua"/>
          <w:color w:val="000000" w:themeColor="text1"/>
          <w:sz w:val="24"/>
          <w:szCs w:val="24"/>
        </w:rPr>
        <w:t>echnopolis</w:t>
      </w:r>
      <w:proofErr w:type="spellEnd"/>
      <w:r w:rsidR="00664143" w:rsidRPr="00664143">
        <w:rPr>
          <w:rFonts w:ascii="Book Antiqua" w:hAnsi="Book Antiqua"/>
          <w:color w:val="000000" w:themeColor="text1"/>
          <w:sz w:val="24"/>
          <w:szCs w:val="24"/>
        </w:rPr>
        <w:t xml:space="preserve"> is te danken aan </w:t>
      </w:r>
      <w:r w:rsidR="0027714F">
        <w:rPr>
          <w:rFonts w:ascii="Book Antiqua" w:hAnsi="Book Antiqua"/>
          <w:color w:val="000000" w:themeColor="text1"/>
          <w:sz w:val="24"/>
          <w:szCs w:val="24"/>
        </w:rPr>
        <w:t xml:space="preserve">onze </w:t>
      </w:r>
      <w:r w:rsidR="00664143" w:rsidRPr="00664143">
        <w:rPr>
          <w:rFonts w:ascii="Book Antiqua" w:hAnsi="Book Antiqua"/>
          <w:color w:val="000000" w:themeColor="text1"/>
          <w:sz w:val="24"/>
          <w:szCs w:val="24"/>
        </w:rPr>
        <w:t xml:space="preserve">inzet vanop lokaal vlak. </w:t>
      </w:r>
    </w:p>
    <w:p w14:paraId="5EE0E07A" w14:textId="04DC9FB7" w:rsidR="003C3E55" w:rsidRDefault="00664143" w:rsidP="00664143">
      <w:pPr>
        <w:tabs>
          <w:tab w:val="left" w:pos="8304"/>
        </w:tabs>
        <w:rPr>
          <w:rFonts w:ascii="Book Antiqua" w:hAnsi="Book Antiqua"/>
          <w:color w:val="000000" w:themeColor="text1"/>
          <w:sz w:val="24"/>
          <w:szCs w:val="24"/>
        </w:rPr>
      </w:pPr>
      <w:r w:rsidRPr="00664143">
        <w:rPr>
          <w:rFonts w:ascii="Book Antiqua" w:hAnsi="Book Antiqua"/>
          <w:color w:val="000000" w:themeColor="text1"/>
          <w:sz w:val="24"/>
          <w:szCs w:val="24"/>
        </w:rPr>
        <w:t>De afgelopen legislatuur zetten we de kentering in. We pleitten voor zuinigheid</w:t>
      </w:r>
      <w:r w:rsidR="00F63D12" w:rsidRPr="00F63D12">
        <w:rPr>
          <w:rFonts w:ascii="Book Antiqua" w:hAnsi="Book Antiqua"/>
          <w:color w:val="000000" w:themeColor="text1"/>
          <w:sz w:val="24"/>
          <w:szCs w:val="24"/>
        </w:rPr>
        <w:t>, in nieuwe aankop</w:t>
      </w:r>
      <w:r w:rsidRPr="00F63D12">
        <w:rPr>
          <w:rFonts w:ascii="Book Antiqua" w:hAnsi="Book Antiqua"/>
          <w:color w:val="000000" w:themeColor="text1"/>
          <w:sz w:val="24"/>
          <w:szCs w:val="24"/>
        </w:rPr>
        <w:t>en</w:t>
      </w:r>
      <w:r w:rsidRPr="00664143">
        <w:rPr>
          <w:rFonts w:ascii="Book Antiqua" w:hAnsi="Book Antiqua"/>
          <w:color w:val="000000" w:themeColor="text1"/>
          <w:sz w:val="24"/>
          <w:szCs w:val="24"/>
        </w:rPr>
        <w:t>, in uitgaven en in planning. Hiermee willen we nu een stap verder gaan.</w:t>
      </w:r>
    </w:p>
    <w:p w14:paraId="059514BE" w14:textId="43496F9A" w:rsidR="0027714F" w:rsidRDefault="0027714F" w:rsidP="00664143">
      <w:pPr>
        <w:tabs>
          <w:tab w:val="left" w:pos="8304"/>
        </w:tabs>
        <w:rPr>
          <w:rFonts w:ascii="Book Antiqua" w:hAnsi="Book Antiqua"/>
          <w:color w:val="000000" w:themeColor="text1"/>
          <w:sz w:val="24"/>
          <w:szCs w:val="24"/>
        </w:rPr>
      </w:pPr>
    </w:p>
    <w:p w14:paraId="52FC1DAC" w14:textId="478672DA" w:rsidR="0027714F" w:rsidRDefault="0027714F" w:rsidP="0027714F">
      <w:pPr>
        <w:pStyle w:val="N-VASubtitel"/>
      </w:pPr>
      <w:r>
        <w:t>De schuld moet naar beneden</w:t>
      </w:r>
    </w:p>
    <w:p w14:paraId="28BB0AF6" w14:textId="0E39A36C" w:rsidR="0027714F" w:rsidRPr="0027714F" w:rsidRDefault="0027714F" w:rsidP="0027714F">
      <w:pPr>
        <w:tabs>
          <w:tab w:val="left" w:pos="8304"/>
        </w:tabs>
        <w:rPr>
          <w:rFonts w:ascii="Book Antiqua" w:hAnsi="Book Antiqua"/>
          <w:color w:val="000000" w:themeColor="text1"/>
          <w:sz w:val="24"/>
          <w:szCs w:val="24"/>
        </w:rPr>
      </w:pPr>
      <w:r w:rsidRPr="0027714F">
        <w:rPr>
          <w:rFonts w:ascii="Book Antiqua" w:hAnsi="Book Antiqua"/>
          <w:color w:val="000000" w:themeColor="text1"/>
          <w:sz w:val="24"/>
          <w:szCs w:val="24"/>
        </w:rPr>
        <w:t xml:space="preserve">In zijn toelichting bij de begroting </w:t>
      </w:r>
      <w:r>
        <w:rPr>
          <w:rFonts w:ascii="Book Antiqua" w:hAnsi="Book Antiqua"/>
          <w:color w:val="000000" w:themeColor="text1"/>
          <w:sz w:val="24"/>
          <w:szCs w:val="24"/>
        </w:rPr>
        <w:t xml:space="preserve">in 2017 stelde </w:t>
      </w:r>
      <w:r w:rsidR="00571EAF">
        <w:rPr>
          <w:rFonts w:ascii="Book Antiqua" w:hAnsi="Book Antiqua"/>
          <w:color w:val="000000" w:themeColor="text1"/>
          <w:sz w:val="24"/>
          <w:szCs w:val="24"/>
        </w:rPr>
        <w:t>de burgemeester</w:t>
      </w:r>
      <w:bookmarkStart w:id="1" w:name="_GoBack"/>
      <w:bookmarkEnd w:id="1"/>
      <w:r>
        <w:rPr>
          <w:rFonts w:ascii="Book Antiqua" w:hAnsi="Book Antiqua"/>
          <w:color w:val="000000" w:themeColor="text1"/>
          <w:sz w:val="24"/>
          <w:szCs w:val="24"/>
        </w:rPr>
        <w:t xml:space="preserve"> nog </w:t>
      </w:r>
      <w:r w:rsidRPr="0027714F">
        <w:rPr>
          <w:rFonts w:ascii="Book Antiqua" w:hAnsi="Book Antiqua"/>
          <w:color w:val="000000" w:themeColor="text1"/>
          <w:sz w:val="24"/>
          <w:szCs w:val="24"/>
        </w:rPr>
        <w:t xml:space="preserve">dat de </w:t>
      </w:r>
      <w:r>
        <w:rPr>
          <w:rFonts w:ascii="Book Antiqua" w:hAnsi="Book Antiqua"/>
          <w:color w:val="000000" w:themeColor="text1"/>
          <w:sz w:val="24"/>
          <w:szCs w:val="24"/>
        </w:rPr>
        <w:t>Mechelse begroting kerngezond is</w:t>
      </w:r>
      <w:r w:rsidRPr="0027714F">
        <w:rPr>
          <w:rFonts w:ascii="Book Antiqua" w:hAnsi="Book Antiqua"/>
          <w:color w:val="000000" w:themeColor="text1"/>
          <w:sz w:val="24"/>
          <w:szCs w:val="24"/>
        </w:rPr>
        <w:t xml:space="preserve">. We mogen onszelf </w:t>
      </w:r>
      <w:r>
        <w:rPr>
          <w:rFonts w:ascii="Book Antiqua" w:hAnsi="Book Antiqua"/>
          <w:color w:val="000000" w:themeColor="text1"/>
          <w:sz w:val="24"/>
          <w:szCs w:val="24"/>
        </w:rPr>
        <w:t xml:space="preserve">echter </w:t>
      </w:r>
      <w:r w:rsidRPr="0027714F">
        <w:rPr>
          <w:rFonts w:ascii="Book Antiqua" w:hAnsi="Book Antiqua"/>
          <w:color w:val="000000" w:themeColor="text1"/>
          <w:sz w:val="24"/>
          <w:szCs w:val="24"/>
        </w:rPr>
        <w:t>niet te veel feliciteren. Zoals we aantoonden</w:t>
      </w:r>
      <w:r>
        <w:rPr>
          <w:rFonts w:ascii="Book Antiqua" w:hAnsi="Book Antiqua"/>
          <w:color w:val="000000" w:themeColor="text1"/>
          <w:sz w:val="24"/>
          <w:szCs w:val="24"/>
        </w:rPr>
        <w:t>,</w:t>
      </w:r>
      <w:r w:rsidRPr="0027714F">
        <w:rPr>
          <w:rFonts w:ascii="Book Antiqua" w:hAnsi="Book Antiqua"/>
          <w:color w:val="000000" w:themeColor="text1"/>
          <w:sz w:val="24"/>
          <w:szCs w:val="24"/>
        </w:rPr>
        <w:t xml:space="preserve"> draait de begroting jaar na jaar met tekort. De schuld moet naar bened</w:t>
      </w:r>
      <w:r>
        <w:rPr>
          <w:rFonts w:ascii="Book Antiqua" w:hAnsi="Book Antiqua"/>
          <w:color w:val="000000" w:themeColor="text1"/>
          <w:sz w:val="24"/>
          <w:szCs w:val="24"/>
        </w:rPr>
        <w:t xml:space="preserve">en en wel zo snel mogelijk, als </w:t>
      </w:r>
      <w:r w:rsidRPr="0027714F">
        <w:rPr>
          <w:rFonts w:ascii="Book Antiqua" w:hAnsi="Book Antiqua"/>
          <w:color w:val="000000" w:themeColor="text1"/>
          <w:sz w:val="24"/>
          <w:szCs w:val="24"/>
        </w:rPr>
        <w:t xml:space="preserve">Mechelen niet in financieel woelige wateren </w:t>
      </w:r>
      <w:r>
        <w:rPr>
          <w:rFonts w:ascii="Book Antiqua" w:hAnsi="Book Antiqua"/>
          <w:color w:val="000000" w:themeColor="text1"/>
          <w:sz w:val="24"/>
          <w:szCs w:val="24"/>
        </w:rPr>
        <w:t xml:space="preserve">wil </w:t>
      </w:r>
      <w:r w:rsidRPr="0027714F">
        <w:rPr>
          <w:rFonts w:ascii="Book Antiqua" w:hAnsi="Book Antiqua"/>
          <w:color w:val="000000" w:themeColor="text1"/>
          <w:sz w:val="24"/>
          <w:szCs w:val="24"/>
        </w:rPr>
        <w:t>terechtkomen.</w:t>
      </w:r>
    </w:p>
    <w:p w14:paraId="04112F3D" w14:textId="77777777" w:rsidR="0027714F" w:rsidRDefault="0027714F" w:rsidP="0027714F">
      <w:pPr>
        <w:tabs>
          <w:tab w:val="left" w:pos="8304"/>
        </w:tabs>
        <w:rPr>
          <w:rFonts w:ascii="Book Antiqua" w:hAnsi="Book Antiqua"/>
          <w:color w:val="000000" w:themeColor="text1"/>
          <w:sz w:val="24"/>
          <w:szCs w:val="24"/>
        </w:rPr>
      </w:pPr>
      <w:r w:rsidRPr="0027714F">
        <w:rPr>
          <w:rFonts w:ascii="Book Antiqua" w:hAnsi="Book Antiqua"/>
          <w:color w:val="000000" w:themeColor="text1"/>
          <w:sz w:val="24"/>
          <w:szCs w:val="24"/>
        </w:rPr>
        <w:t xml:space="preserve">Verdere investeringen in Mechelen </w:t>
      </w:r>
      <w:r>
        <w:rPr>
          <w:rFonts w:ascii="Book Antiqua" w:hAnsi="Book Antiqua"/>
          <w:color w:val="000000" w:themeColor="text1"/>
          <w:sz w:val="24"/>
          <w:szCs w:val="24"/>
        </w:rPr>
        <w:t>is de N-VA</w:t>
      </w:r>
      <w:r w:rsidRPr="0027714F">
        <w:rPr>
          <w:rFonts w:ascii="Book Antiqua" w:hAnsi="Book Antiqua"/>
          <w:color w:val="000000" w:themeColor="text1"/>
          <w:sz w:val="24"/>
          <w:szCs w:val="24"/>
        </w:rPr>
        <w:t xml:space="preserve"> zeker genegen. Maar </w:t>
      </w:r>
      <w:r>
        <w:rPr>
          <w:rFonts w:ascii="Book Antiqua" w:hAnsi="Book Antiqua"/>
          <w:color w:val="000000" w:themeColor="text1"/>
          <w:sz w:val="24"/>
          <w:szCs w:val="24"/>
        </w:rPr>
        <w:t xml:space="preserve">wij pleiten </w:t>
      </w:r>
      <w:r w:rsidRPr="0027714F">
        <w:rPr>
          <w:rFonts w:ascii="Book Antiqua" w:hAnsi="Book Antiqua"/>
          <w:color w:val="000000" w:themeColor="text1"/>
          <w:sz w:val="24"/>
          <w:szCs w:val="24"/>
        </w:rPr>
        <w:t xml:space="preserve">in de eerste plaats voor een </w:t>
      </w:r>
      <w:r w:rsidRPr="0027714F">
        <w:rPr>
          <w:rFonts w:ascii="Book Antiqua" w:hAnsi="Book Antiqua"/>
          <w:b/>
          <w:color w:val="000000" w:themeColor="text1"/>
          <w:sz w:val="24"/>
          <w:szCs w:val="24"/>
        </w:rPr>
        <w:t xml:space="preserve">systematische en transparante </w:t>
      </w:r>
      <w:proofErr w:type="spellStart"/>
      <w:r w:rsidRPr="0027714F">
        <w:rPr>
          <w:rFonts w:ascii="Book Antiqua" w:hAnsi="Book Antiqua"/>
          <w:b/>
          <w:color w:val="000000" w:themeColor="text1"/>
          <w:sz w:val="24"/>
          <w:szCs w:val="24"/>
        </w:rPr>
        <w:t>schuldafbouw</w:t>
      </w:r>
      <w:proofErr w:type="spellEnd"/>
      <w:r w:rsidRPr="0027714F">
        <w:rPr>
          <w:rFonts w:ascii="Book Antiqua" w:hAnsi="Book Antiqua"/>
          <w:b/>
          <w:color w:val="000000" w:themeColor="text1"/>
          <w:sz w:val="24"/>
          <w:szCs w:val="24"/>
        </w:rPr>
        <w:t>.</w:t>
      </w:r>
      <w:r w:rsidRPr="0027714F">
        <w:rPr>
          <w:rFonts w:ascii="Book Antiqua" w:hAnsi="Book Antiqua"/>
          <w:color w:val="000000" w:themeColor="text1"/>
          <w:sz w:val="24"/>
          <w:szCs w:val="24"/>
        </w:rPr>
        <w:t xml:space="preserve"> </w:t>
      </w:r>
    </w:p>
    <w:p w14:paraId="2AA05529" w14:textId="670A4878" w:rsidR="0027714F" w:rsidRPr="0027714F" w:rsidRDefault="0027714F" w:rsidP="0027714F">
      <w:pPr>
        <w:tabs>
          <w:tab w:val="left" w:pos="8304"/>
        </w:tabs>
        <w:rPr>
          <w:rFonts w:ascii="Book Antiqua" w:hAnsi="Book Antiqua"/>
          <w:color w:val="000000" w:themeColor="text1"/>
          <w:sz w:val="24"/>
          <w:szCs w:val="24"/>
        </w:rPr>
      </w:pPr>
      <w:r w:rsidRPr="0027714F">
        <w:rPr>
          <w:rFonts w:ascii="Book Antiqua" w:hAnsi="Book Antiqua"/>
          <w:color w:val="000000" w:themeColor="text1"/>
          <w:sz w:val="24"/>
          <w:szCs w:val="24"/>
        </w:rPr>
        <w:t>D</w:t>
      </w:r>
      <w:r>
        <w:rPr>
          <w:rFonts w:ascii="Book Antiqua" w:hAnsi="Book Antiqua"/>
          <w:color w:val="000000" w:themeColor="text1"/>
          <w:sz w:val="24"/>
          <w:szCs w:val="24"/>
        </w:rPr>
        <w:t>a</w:t>
      </w:r>
      <w:r w:rsidRPr="0027714F">
        <w:rPr>
          <w:rFonts w:ascii="Book Antiqua" w:hAnsi="Book Antiqua"/>
          <w:color w:val="000000" w:themeColor="text1"/>
          <w:sz w:val="24"/>
          <w:szCs w:val="24"/>
        </w:rPr>
        <w:t xml:space="preserve">t begint met het probleem te benoemen en de cijfers te erkennen. </w:t>
      </w:r>
      <w:r>
        <w:rPr>
          <w:rFonts w:ascii="Book Antiqua" w:hAnsi="Book Antiqua"/>
          <w:color w:val="000000" w:themeColor="text1"/>
          <w:sz w:val="24"/>
          <w:szCs w:val="24"/>
        </w:rPr>
        <w:t>Enkel zo kan Mechelen t</w:t>
      </w:r>
      <w:r w:rsidRPr="0027714F">
        <w:rPr>
          <w:rFonts w:ascii="Book Antiqua" w:hAnsi="Book Antiqua"/>
          <w:color w:val="000000" w:themeColor="text1"/>
          <w:sz w:val="24"/>
          <w:szCs w:val="24"/>
        </w:rPr>
        <w:t>egen het einde van de volgende legislatuur een schuldgraad</w:t>
      </w:r>
      <w:r>
        <w:rPr>
          <w:rFonts w:ascii="Book Antiqua" w:hAnsi="Book Antiqua"/>
          <w:color w:val="000000" w:themeColor="text1"/>
          <w:sz w:val="24"/>
          <w:szCs w:val="24"/>
        </w:rPr>
        <w:t xml:space="preserve"> bereiken</w:t>
      </w:r>
      <w:r w:rsidRPr="0027714F">
        <w:rPr>
          <w:rFonts w:ascii="Book Antiqua" w:hAnsi="Book Antiqua"/>
          <w:color w:val="000000" w:themeColor="text1"/>
          <w:sz w:val="24"/>
          <w:szCs w:val="24"/>
        </w:rPr>
        <w:t xml:space="preserve"> die in lijn ligt met die van de Vlaamse centrumsteden.</w:t>
      </w:r>
    </w:p>
    <w:p w14:paraId="6DBBA945" w14:textId="77777777" w:rsidR="0027714F" w:rsidRDefault="0027714F" w:rsidP="0027714F">
      <w:pPr>
        <w:tabs>
          <w:tab w:val="left" w:pos="8304"/>
        </w:tabs>
        <w:rPr>
          <w:rFonts w:ascii="Book Antiqua" w:hAnsi="Book Antiqua"/>
          <w:color w:val="000000" w:themeColor="text1"/>
          <w:sz w:val="24"/>
          <w:szCs w:val="24"/>
        </w:rPr>
      </w:pPr>
      <w:r w:rsidRPr="0027714F">
        <w:rPr>
          <w:rFonts w:ascii="Book Antiqua" w:hAnsi="Book Antiqua"/>
          <w:color w:val="000000" w:themeColor="text1"/>
          <w:sz w:val="24"/>
          <w:szCs w:val="24"/>
        </w:rPr>
        <w:t xml:space="preserve">Kortom, </w:t>
      </w:r>
      <w:r>
        <w:rPr>
          <w:rFonts w:ascii="Book Antiqua" w:hAnsi="Book Antiqua"/>
          <w:color w:val="000000" w:themeColor="text1"/>
          <w:sz w:val="24"/>
          <w:szCs w:val="24"/>
        </w:rPr>
        <w:t>N-VA Mechelen maakt</w:t>
      </w:r>
      <w:r w:rsidRPr="0027714F">
        <w:rPr>
          <w:rFonts w:ascii="Book Antiqua" w:hAnsi="Book Antiqua"/>
          <w:color w:val="000000" w:themeColor="text1"/>
          <w:sz w:val="24"/>
          <w:szCs w:val="24"/>
        </w:rPr>
        <w:t xml:space="preserve"> </w:t>
      </w:r>
      <w:r>
        <w:rPr>
          <w:rFonts w:ascii="Book Antiqua" w:hAnsi="Book Antiqua"/>
          <w:color w:val="000000" w:themeColor="text1"/>
          <w:sz w:val="24"/>
          <w:szCs w:val="24"/>
        </w:rPr>
        <w:t xml:space="preserve">een </w:t>
      </w:r>
      <w:r w:rsidRPr="0027714F">
        <w:rPr>
          <w:rFonts w:ascii="Book Antiqua" w:hAnsi="Book Antiqua"/>
          <w:color w:val="000000" w:themeColor="text1"/>
          <w:sz w:val="24"/>
          <w:szCs w:val="24"/>
        </w:rPr>
        <w:t xml:space="preserve">duidelijke keuze. De Mechelse </w:t>
      </w:r>
      <w:r w:rsidRPr="0027714F">
        <w:rPr>
          <w:rFonts w:ascii="Book Antiqua" w:hAnsi="Book Antiqua"/>
          <w:b/>
          <w:color w:val="000000" w:themeColor="text1"/>
          <w:sz w:val="24"/>
          <w:szCs w:val="24"/>
        </w:rPr>
        <w:t>schuld moet naar beneden</w:t>
      </w:r>
      <w:r w:rsidRPr="0027714F">
        <w:rPr>
          <w:rFonts w:ascii="Book Antiqua" w:hAnsi="Book Antiqua"/>
          <w:color w:val="000000" w:themeColor="text1"/>
          <w:sz w:val="24"/>
          <w:szCs w:val="24"/>
        </w:rPr>
        <w:t xml:space="preserve"> en daar willen we constructief aan bijdragen. </w:t>
      </w:r>
    </w:p>
    <w:p w14:paraId="04476265" w14:textId="03AF0E13" w:rsidR="0027714F" w:rsidRPr="0027714F" w:rsidRDefault="0027714F" w:rsidP="0027714F">
      <w:pPr>
        <w:tabs>
          <w:tab w:val="left" w:pos="8304"/>
        </w:tabs>
        <w:rPr>
          <w:rFonts w:ascii="Book Antiqua" w:hAnsi="Book Antiqua"/>
          <w:color w:val="000000" w:themeColor="text1"/>
          <w:sz w:val="24"/>
          <w:szCs w:val="24"/>
        </w:rPr>
      </w:pPr>
      <w:r w:rsidRPr="0027714F">
        <w:rPr>
          <w:rFonts w:ascii="Book Antiqua" w:hAnsi="Book Antiqua"/>
          <w:color w:val="000000" w:themeColor="text1"/>
          <w:sz w:val="24"/>
          <w:szCs w:val="24"/>
        </w:rPr>
        <w:t xml:space="preserve">Voor toekomstige investeringen maken we op voorhand een grondige afweging. We selecteren </w:t>
      </w:r>
      <w:r w:rsidRPr="0027714F">
        <w:rPr>
          <w:rFonts w:ascii="Book Antiqua" w:hAnsi="Book Antiqua"/>
          <w:b/>
          <w:color w:val="000000" w:themeColor="text1"/>
          <w:sz w:val="24"/>
          <w:szCs w:val="24"/>
        </w:rPr>
        <w:t>enkel die investeringen die noodzakelijk zijn</w:t>
      </w:r>
      <w:r w:rsidRPr="0027714F">
        <w:rPr>
          <w:rFonts w:ascii="Book Antiqua" w:hAnsi="Book Antiqua"/>
          <w:color w:val="000000" w:themeColor="text1"/>
          <w:sz w:val="24"/>
          <w:szCs w:val="24"/>
        </w:rPr>
        <w:t xml:space="preserve"> voor een duurzame dienstverlening in Mechelen. Zo blijven we bijvoorbeeld inzetten op veiligheid, openbaar domein en dienstverlening. Maar we houden de knip op de beugel voor projecten die de </w:t>
      </w:r>
      <w:proofErr w:type="spellStart"/>
      <w:r w:rsidRPr="0027714F">
        <w:rPr>
          <w:rFonts w:ascii="Book Antiqua" w:hAnsi="Book Antiqua"/>
          <w:color w:val="000000" w:themeColor="text1"/>
          <w:sz w:val="24"/>
          <w:szCs w:val="24"/>
        </w:rPr>
        <w:t>Mechelaar</w:t>
      </w:r>
      <w:proofErr w:type="spellEnd"/>
      <w:r w:rsidRPr="0027714F">
        <w:rPr>
          <w:rFonts w:ascii="Book Antiqua" w:hAnsi="Book Antiqua"/>
          <w:color w:val="000000" w:themeColor="text1"/>
          <w:sz w:val="24"/>
          <w:szCs w:val="24"/>
        </w:rPr>
        <w:t xml:space="preserve"> niet nodig heeft. </w:t>
      </w:r>
    </w:p>
    <w:p w14:paraId="186CABBF" w14:textId="742D2CA2" w:rsidR="0027714F" w:rsidRPr="00664143" w:rsidRDefault="0027714F" w:rsidP="0027714F">
      <w:pPr>
        <w:tabs>
          <w:tab w:val="left" w:pos="8304"/>
        </w:tabs>
        <w:rPr>
          <w:rFonts w:ascii="Book Antiqua" w:hAnsi="Book Antiqua"/>
          <w:color w:val="000000" w:themeColor="text1"/>
          <w:sz w:val="24"/>
          <w:szCs w:val="24"/>
        </w:rPr>
      </w:pPr>
      <w:r w:rsidRPr="0027714F">
        <w:rPr>
          <w:rFonts w:ascii="Book Antiqua" w:hAnsi="Book Antiqua"/>
          <w:color w:val="000000" w:themeColor="text1"/>
          <w:sz w:val="24"/>
          <w:szCs w:val="24"/>
        </w:rPr>
        <w:t xml:space="preserve">Komt het ooit goed met de torenhoge financiële schuld in Mechelen? Als het van </w:t>
      </w:r>
      <w:r w:rsidR="006657BB">
        <w:rPr>
          <w:rFonts w:ascii="Book Antiqua" w:hAnsi="Book Antiqua"/>
          <w:color w:val="000000" w:themeColor="text1"/>
          <w:sz w:val="24"/>
          <w:szCs w:val="24"/>
        </w:rPr>
        <w:t xml:space="preserve">de Stadslijst </w:t>
      </w:r>
      <w:r w:rsidRPr="0027714F">
        <w:rPr>
          <w:rFonts w:ascii="Book Antiqua" w:hAnsi="Book Antiqua"/>
          <w:color w:val="000000" w:themeColor="text1"/>
          <w:sz w:val="24"/>
          <w:szCs w:val="24"/>
        </w:rPr>
        <w:t xml:space="preserve"> afhangt, misschien niet. In ieder geval verdient de </w:t>
      </w:r>
      <w:proofErr w:type="spellStart"/>
      <w:r w:rsidRPr="0027714F">
        <w:rPr>
          <w:rFonts w:ascii="Book Antiqua" w:hAnsi="Book Antiqua"/>
          <w:color w:val="000000" w:themeColor="text1"/>
          <w:sz w:val="24"/>
          <w:szCs w:val="24"/>
        </w:rPr>
        <w:t>Mechelaar</w:t>
      </w:r>
      <w:proofErr w:type="spellEnd"/>
      <w:r w:rsidRPr="0027714F">
        <w:rPr>
          <w:rFonts w:ascii="Book Antiqua" w:hAnsi="Book Antiqua"/>
          <w:color w:val="000000" w:themeColor="text1"/>
          <w:sz w:val="24"/>
          <w:szCs w:val="24"/>
        </w:rPr>
        <w:t xml:space="preserve"> een klaar en duidelijk antwoord. Wij staan garant voor </w:t>
      </w:r>
      <w:r w:rsidRPr="0027714F">
        <w:rPr>
          <w:rFonts w:ascii="Book Antiqua" w:hAnsi="Book Antiqua"/>
          <w:b/>
          <w:color w:val="000000" w:themeColor="text1"/>
          <w:sz w:val="24"/>
          <w:szCs w:val="24"/>
        </w:rPr>
        <w:t>een transparant en verantwoord beheer van de Mechelse stadskas.</w:t>
      </w:r>
    </w:p>
    <w:sectPr w:rsidR="0027714F" w:rsidRPr="00664143" w:rsidSect="004A7487">
      <w:footerReference w:type="default" r:id="rId9"/>
      <w:footerReference w:type="first" r:id="rId10"/>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1E9FD" w14:textId="77777777" w:rsidR="00783E70" w:rsidRDefault="00783E70" w:rsidP="0038217F">
      <w:pPr>
        <w:spacing w:after="0" w:line="240" w:lineRule="auto"/>
      </w:pPr>
      <w:r>
        <w:separator/>
      </w:r>
    </w:p>
  </w:endnote>
  <w:endnote w:type="continuationSeparator" w:id="0">
    <w:p w14:paraId="6AE23D39" w14:textId="77777777" w:rsidR="00783E70" w:rsidRDefault="00783E70" w:rsidP="0038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Minion Pro">
    <w:panose1 w:val="020205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129043030"/>
      <w:docPartObj>
        <w:docPartGallery w:val="Page Numbers (Bottom of Page)"/>
        <w:docPartUnique/>
      </w:docPartObj>
    </w:sdtPr>
    <w:sdtEndPr>
      <w:rPr>
        <w:rStyle w:val="N-VADoorlopendetekstChar"/>
      </w:rPr>
    </w:sdtEndPr>
    <w:sdtContent>
      <w:p w14:paraId="15589AF3" w14:textId="11032858" w:rsidR="001B7DDF" w:rsidRPr="001B7DDF" w:rsidRDefault="00670AD3" w:rsidP="001B7DDF">
        <w:pPr>
          <w:pStyle w:val="N-VADoorlopendetekst"/>
          <w:pBdr>
            <w:top w:val="single" w:sz="4" w:space="1" w:color="FBBC23"/>
          </w:pBdr>
          <w:rPr>
            <w:rStyle w:val="N-VADoorlopendetekstChar"/>
            <w:sz w:val="20"/>
            <w:szCs w:val="20"/>
          </w:rPr>
        </w:pPr>
        <w:r>
          <w:rPr>
            <w:sz w:val="20"/>
            <w:szCs w:val="20"/>
          </w:rPr>
          <w:t xml:space="preserve">Veilig thuis in een financieel gezond Mechelen </w:t>
        </w:r>
        <w:r>
          <w:rPr>
            <w:sz w:val="20"/>
            <w:szCs w:val="20"/>
          </w:rPr>
          <w:tab/>
        </w:r>
        <w:r>
          <w:rPr>
            <w:sz w:val="20"/>
            <w:szCs w:val="20"/>
          </w:rPr>
          <w:tab/>
        </w:r>
        <w:r w:rsidR="001B7DDF">
          <w:rPr>
            <w:sz w:val="20"/>
            <w:szCs w:val="20"/>
          </w:rPr>
          <w:tab/>
        </w:r>
        <w:r w:rsidR="001B7DDF">
          <w:rPr>
            <w:sz w:val="20"/>
            <w:szCs w:val="20"/>
          </w:rPr>
          <w:tab/>
        </w:r>
        <w:r w:rsidR="001B7DDF">
          <w:rPr>
            <w:sz w:val="20"/>
            <w:szCs w:val="20"/>
          </w:rPr>
          <w:tab/>
        </w:r>
        <w:r w:rsidR="001B7DDF">
          <w:rPr>
            <w:sz w:val="20"/>
            <w:szCs w:val="20"/>
          </w:rPr>
          <w:tab/>
        </w:r>
        <w:r w:rsidR="001B7DDF">
          <w:rPr>
            <w:sz w:val="20"/>
            <w:szCs w:val="20"/>
          </w:rPr>
          <w:tab/>
        </w:r>
        <w:r w:rsidR="001B7DDF">
          <w:rPr>
            <w:sz w:val="20"/>
            <w:szCs w:val="20"/>
          </w:rPr>
          <w:tab/>
        </w:r>
        <w:r w:rsidR="001B7DDF" w:rsidRPr="001B7DDF">
          <w:rPr>
            <w:sz w:val="20"/>
            <w:szCs w:val="20"/>
          </w:rPr>
          <w:t xml:space="preserve"> </w:t>
        </w:r>
        <w:r w:rsidR="001B7DDF" w:rsidRPr="001B7DDF">
          <w:rPr>
            <w:rStyle w:val="N-VADoorlopendetekstChar"/>
            <w:sz w:val="20"/>
            <w:szCs w:val="20"/>
          </w:rPr>
          <w:fldChar w:fldCharType="begin"/>
        </w:r>
        <w:r w:rsidR="001B7DDF" w:rsidRPr="001B7DDF">
          <w:rPr>
            <w:rStyle w:val="N-VADoorlopendetekstChar"/>
            <w:sz w:val="20"/>
            <w:szCs w:val="20"/>
          </w:rPr>
          <w:instrText>PAGE   \* MERGEFORMAT</w:instrText>
        </w:r>
        <w:r w:rsidR="001B7DDF" w:rsidRPr="001B7DDF">
          <w:rPr>
            <w:rStyle w:val="N-VADoorlopendetekstChar"/>
            <w:sz w:val="20"/>
            <w:szCs w:val="20"/>
          </w:rPr>
          <w:fldChar w:fldCharType="separate"/>
        </w:r>
        <w:r w:rsidR="004A7487" w:rsidRPr="004A7487">
          <w:rPr>
            <w:rStyle w:val="N-VADoorlopendetekstChar"/>
            <w:noProof/>
            <w:sz w:val="20"/>
            <w:szCs w:val="20"/>
            <w:lang w:val="nl-NL"/>
          </w:rPr>
          <w:t>2</w:t>
        </w:r>
        <w:r w:rsidR="001B7DDF" w:rsidRPr="001B7DDF">
          <w:rPr>
            <w:rStyle w:val="N-VADoorlopendetekstChar"/>
            <w:sz w:val="20"/>
            <w:szCs w:val="20"/>
          </w:rPr>
          <w:fldChar w:fldCharType="end"/>
        </w:r>
      </w:p>
    </w:sdtContent>
  </w:sdt>
  <w:p w14:paraId="033D2077" w14:textId="77777777" w:rsidR="001B7DDF" w:rsidRPr="001B7DDF" w:rsidRDefault="001B7DDF" w:rsidP="001B7DDF">
    <w:pPr>
      <w:pStyle w:val="N-VADoorlopendeteks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80474863"/>
      <w:docPartObj>
        <w:docPartGallery w:val="Page Numbers (Bottom of Page)"/>
        <w:docPartUnique/>
      </w:docPartObj>
    </w:sdtPr>
    <w:sdtEndPr>
      <w:rPr>
        <w:rStyle w:val="N-VADoorlopendetekstChar"/>
      </w:rPr>
    </w:sdtEndPr>
    <w:sdtContent>
      <w:p w14:paraId="0ABCA608" w14:textId="79315009" w:rsidR="004A7487" w:rsidRPr="001B7DDF" w:rsidRDefault="00A377B9" w:rsidP="004A7487">
        <w:pPr>
          <w:pStyle w:val="N-VADoorlopendetekst"/>
          <w:pBdr>
            <w:top w:val="single" w:sz="4" w:space="1" w:color="FBBC23"/>
          </w:pBdr>
          <w:rPr>
            <w:rStyle w:val="N-VADoorlopendetekstChar"/>
            <w:sz w:val="20"/>
            <w:szCs w:val="20"/>
          </w:rPr>
        </w:pPr>
        <w:r>
          <w:rPr>
            <w:sz w:val="20"/>
            <w:szCs w:val="20"/>
          </w:rPr>
          <w:t xml:space="preserve">Veilig thuis in een financieel gezond Mechelen </w:t>
        </w:r>
        <w:r w:rsidR="004A7487">
          <w:rPr>
            <w:sz w:val="20"/>
            <w:szCs w:val="20"/>
          </w:rPr>
          <w:tab/>
        </w:r>
        <w:r w:rsidR="004A7487">
          <w:rPr>
            <w:sz w:val="20"/>
            <w:szCs w:val="20"/>
          </w:rPr>
          <w:tab/>
        </w:r>
        <w:r w:rsidR="004A7487">
          <w:rPr>
            <w:sz w:val="20"/>
            <w:szCs w:val="20"/>
          </w:rPr>
          <w:tab/>
        </w:r>
        <w:r w:rsidR="004A7487">
          <w:rPr>
            <w:sz w:val="20"/>
            <w:szCs w:val="20"/>
          </w:rPr>
          <w:tab/>
        </w:r>
        <w:r w:rsidR="004A7487">
          <w:rPr>
            <w:sz w:val="20"/>
            <w:szCs w:val="20"/>
          </w:rPr>
          <w:tab/>
        </w:r>
        <w:r w:rsidR="004A7487">
          <w:rPr>
            <w:sz w:val="20"/>
            <w:szCs w:val="20"/>
          </w:rPr>
          <w:tab/>
        </w:r>
        <w:r w:rsidR="004A7487">
          <w:rPr>
            <w:sz w:val="20"/>
            <w:szCs w:val="20"/>
          </w:rPr>
          <w:tab/>
        </w:r>
        <w:r w:rsidR="004A7487">
          <w:rPr>
            <w:sz w:val="20"/>
            <w:szCs w:val="20"/>
          </w:rPr>
          <w:tab/>
        </w:r>
        <w:r w:rsidR="004A7487" w:rsidRPr="001B7DDF">
          <w:rPr>
            <w:sz w:val="20"/>
            <w:szCs w:val="20"/>
          </w:rPr>
          <w:t xml:space="preserve"> </w:t>
        </w:r>
        <w:r w:rsidR="004A7487" w:rsidRPr="001B7DDF">
          <w:rPr>
            <w:rStyle w:val="N-VADoorlopendetekstChar"/>
            <w:sz w:val="20"/>
            <w:szCs w:val="20"/>
          </w:rPr>
          <w:fldChar w:fldCharType="begin"/>
        </w:r>
        <w:r w:rsidR="004A7487" w:rsidRPr="001B7DDF">
          <w:rPr>
            <w:rStyle w:val="N-VADoorlopendetekstChar"/>
            <w:sz w:val="20"/>
            <w:szCs w:val="20"/>
          </w:rPr>
          <w:instrText>PAGE   \* MERGEFORMAT</w:instrText>
        </w:r>
        <w:r w:rsidR="004A7487" w:rsidRPr="001B7DDF">
          <w:rPr>
            <w:rStyle w:val="N-VADoorlopendetekstChar"/>
            <w:sz w:val="20"/>
            <w:szCs w:val="20"/>
          </w:rPr>
          <w:fldChar w:fldCharType="separate"/>
        </w:r>
        <w:r w:rsidR="004A7487" w:rsidRPr="004A7487">
          <w:rPr>
            <w:rStyle w:val="N-VADoorlopendetekstChar"/>
            <w:noProof/>
            <w:sz w:val="20"/>
            <w:szCs w:val="20"/>
            <w:lang w:val="nl-NL"/>
          </w:rPr>
          <w:t>1</w:t>
        </w:r>
        <w:r w:rsidR="004A7487" w:rsidRPr="001B7DDF">
          <w:rPr>
            <w:rStyle w:val="N-VADoorlopendetekstChar"/>
            <w:sz w:val="20"/>
            <w:szCs w:val="20"/>
          </w:rPr>
          <w:fldChar w:fldCharType="end"/>
        </w:r>
      </w:p>
    </w:sdtContent>
  </w:sdt>
  <w:p w14:paraId="023A4698" w14:textId="77777777" w:rsidR="004A7487" w:rsidRDefault="004A74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49A7" w14:textId="77777777" w:rsidR="00783E70" w:rsidRDefault="00783E70" w:rsidP="0038217F">
      <w:pPr>
        <w:spacing w:after="0" w:line="240" w:lineRule="auto"/>
      </w:pPr>
      <w:r>
        <w:separator/>
      </w:r>
    </w:p>
  </w:footnote>
  <w:footnote w:type="continuationSeparator" w:id="0">
    <w:p w14:paraId="7C98A2A0" w14:textId="77777777" w:rsidR="00783E70" w:rsidRDefault="00783E70" w:rsidP="0038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17CFF"/>
    <w:multiLevelType w:val="hybridMultilevel"/>
    <w:tmpl w:val="F588FEB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9BB150F"/>
    <w:multiLevelType w:val="hybridMultilevel"/>
    <w:tmpl w:val="31060B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CC02347"/>
    <w:multiLevelType w:val="hybridMultilevel"/>
    <w:tmpl w:val="00263498"/>
    <w:lvl w:ilvl="0" w:tplc="FB407A80">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70"/>
    <w:rsid w:val="000B2884"/>
    <w:rsid w:val="001B7DDF"/>
    <w:rsid w:val="001E6E98"/>
    <w:rsid w:val="0027714F"/>
    <w:rsid w:val="00281E49"/>
    <w:rsid w:val="002E7FD2"/>
    <w:rsid w:val="0038217F"/>
    <w:rsid w:val="003C3E55"/>
    <w:rsid w:val="004207B0"/>
    <w:rsid w:val="0044678E"/>
    <w:rsid w:val="004A7487"/>
    <w:rsid w:val="004E025E"/>
    <w:rsid w:val="00571EAF"/>
    <w:rsid w:val="00664143"/>
    <w:rsid w:val="006657BB"/>
    <w:rsid w:val="00670AD3"/>
    <w:rsid w:val="0073400F"/>
    <w:rsid w:val="007358F5"/>
    <w:rsid w:val="00750C6E"/>
    <w:rsid w:val="00783E70"/>
    <w:rsid w:val="00835967"/>
    <w:rsid w:val="008E5D38"/>
    <w:rsid w:val="0096482F"/>
    <w:rsid w:val="00A377B9"/>
    <w:rsid w:val="00B7661E"/>
    <w:rsid w:val="00C729E0"/>
    <w:rsid w:val="00DC2782"/>
    <w:rsid w:val="00F11FE3"/>
    <w:rsid w:val="00F553CE"/>
    <w:rsid w:val="00F63D12"/>
    <w:rsid w:val="00FB2D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B67AC"/>
  <w15:chartTrackingRefBased/>
  <w15:docId w15:val="{0774C03E-66C9-4E30-8146-CDADD44D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DC27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21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217F"/>
  </w:style>
  <w:style w:type="paragraph" w:styleId="Voettekst">
    <w:name w:val="footer"/>
    <w:basedOn w:val="Standaard"/>
    <w:link w:val="VoettekstChar"/>
    <w:uiPriority w:val="99"/>
    <w:unhideWhenUsed/>
    <w:rsid w:val="003821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217F"/>
  </w:style>
  <w:style w:type="paragraph" w:customStyle="1" w:styleId="N-VAHoofdtitel">
    <w:name w:val="N-VA Hoofdtitel"/>
    <w:basedOn w:val="Standaard"/>
    <w:link w:val="N-VAHoofdtitelChar"/>
    <w:qFormat/>
    <w:rsid w:val="0073400F"/>
    <w:rPr>
      <w:rFonts w:ascii="HelveticaNeueLT Std Cn" w:hAnsi="HelveticaNeueLT Std Cn"/>
      <w:b/>
      <w:sz w:val="52"/>
    </w:rPr>
  </w:style>
  <w:style w:type="paragraph" w:customStyle="1" w:styleId="N-VASubtitel">
    <w:name w:val="N-VA Subtitel"/>
    <w:basedOn w:val="Standaard"/>
    <w:link w:val="N-VASubtitelChar"/>
    <w:qFormat/>
    <w:rsid w:val="0073400F"/>
    <w:pPr>
      <w:pBdr>
        <w:bottom w:val="single" w:sz="4" w:space="1" w:color="FBBC23"/>
      </w:pBdr>
    </w:pPr>
    <w:rPr>
      <w:rFonts w:ascii="HelveticaNeueLT Std Cn" w:hAnsi="HelveticaNeueLT Std Cn"/>
      <w:b/>
      <w:color w:val="FBBC23"/>
      <w:sz w:val="40"/>
      <w:szCs w:val="40"/>
    </w:rPr>
  </w:style>
  <w:style w:type="character" w:customStyle="1" w:styleId="N-VAHoofdtitelChar">
    <w:name w:val="N-VA Hoofdtitel Char"/>
    <w:basedOn w:val="Standaardalinea-lettertype"/>
    <w:link w:val="N-VAHoofdtitel"/>
    <w:rsid w:val="0073400F"/>
    <w:rPr>
      <w:rFonts w:ascii="HelveticaNeueLT Std Cn" w:hAnsi="HelveticaNeueLT Std Cn"/>
      <w:b/>
      <w:sz w:val="52"/>
    </w:rPr>
  </w:style>
  <w:style w:type="paragraph" w:customStyle="1" w:styleId="N-VADoorlopendetekst">
    <w:name w:val="N-VA Doorlopende tekst"/>
    <w:basedOn w:val="Standaard"/>
    <w:link w:val="N-VADoorlopendetekstChar"/>
    <w:qFormat/>
    <w:rsid w:val="00F11FE3"/>
    <w:rPr>
      <w:rFonts w:ascii="Book Antiqua" w:hAnsi="Book Antiqua"/>
      <w:color w:val="000000" w:themeColor="text1"/>
      <w:sz w:val="24"/>
      <w:szCs w:val="24"/>
    </w:rPr>
  </w:style>
  <w:style w:type="character" w:customStyle="1" w:styleId="N-VASubtitelChar">
    <w:name w:val="N-VA Subtitel Char"/>
    <w:basedOn w:val="Standaardalinea-lettertype"/>
    <w:link w:val="N-VASubtitel"/>
    <w:rsid w:val="0073400F"/>
    <w:rPr>
      <w:rFonts w:ascii="HelveticaNeueLT Std Cn" w:hAnsi="HelveticaNeueLT Std Cn"/>
      <w:b/>
      <w:color w:val="FBBC23"/>
      <w:sz w:val="40"/>
      <w:szCs w:val="40"/>
    </w:rPr>
  </w:style>
  <w:style w:type="paragraph" w:customStyle="1" w:styleId="N-VAAccenten">
    <w:name w:val="N-VA Accenten"/>
    <w:basedOn w:val="Standaard"/>
    <w:link w:val="N-VAAccentenChar"/>
    <w:qFormat/>
    <w:rsid w:val="00DC2782"/>
    <w:pPr>
      <w:pBdr>
        <w:top w:val="single" w:sz="48" w:space="1" w:color="FBBC23"/>
        <w:left w:val="single" w:sz="48" w:space="4" w:color="FBBC23"/>
        <w:bottom w:val="single" w:sz="48" w:space="1" w:color="FBBC23"/>
        <w:right w:val="single" w:sz="48" w:space="4" w:color="FBBC23"/>
      </w:pBdr>
      <w:shd w:val="clear" w:color="auto" w:fill="FBBC23"/>
    </w:pPr>
  </w:style>
  <w:style w:type="character" w:customStyle="1" w:styleId="N-VADoorlopendetekstChar">
    <w:name w:val="N-VA Doorlopende tekst Char"/>
    <w:basedOn w:val="Standaardalinea-lettertype"/>
    <w:link w:val="N-VADoorlopendetekst"/>
    <w:rsid w:val="00F11FE3"/>
    <w:rPr>
      <w:rFonts w:ascii="Book Antiqua" w:hAnsi="Book Antiqua"/>
      <w:color w:val="000000" w:themeColor="text1"/>
      <w:sz w:val="24"/>
      <w:szCs w:val="24"/>
    </w:rPr>
  </w:style>
  <w:style w:type="paragraph" w:customStyle="1" w:styleId="N-VAinhoudstabel">
    <w:name w:val="N-VA inhoudstabel"/>
    <w:basedOn w:val="Standaard"/>
    <w:link w:val="N-VAinhoudstabelChar"/>
    <w:qFormat/>
    <w:rsid w:val="00B7661E"/>
    <w:pPr>
      <w:tabs>
        <w:tab w:val="right" w:leader="dot" w:pos="9070"/>
      </w:tabs>
      <w:spacing w:line="240" w:lineRule="auto"/>
    </w:pPr>
    <w:rPr>
      <w:rFonts w:ascii="HelveticaNeueLT Std Cn" w:hAnsi="HelveticaNeueLT Std Cn"/>
      <w:color w:val="808080" w:themeColor="background1" w:themeShade="80"/>
      <w:sz w:val="24"/>
      <w:szCs w:val="24"/>
    </w:rPr>
  </w:style>
  <w:style w:type="character" w:customStyle="1" w:styleId="N-VAAccentenChar">
    <w:name w:val="N-VA Accenten Char"/>
    <w:basedOn w:val="Standaardalinea-lettertype"/>
    <w:link w:val="N-VAAccenten"/>
    <w:rsid w:val="00DC2782"/>
    <w:rPr>
      <w:shd w:val="clear" w:color="auto" w:fill="FBBC23"/>
    </w:rPr>
  </w:style>
  <w:style w:type="character" w:customStyle="1" w:styleId="N-VAinhoudstabelChar">
    <w:name w:val="N-VA inhoudstabel Char"/>
    <w:basedOn w:val="Standaardalinea-lettertype"/>
    <w:link w:val="N-VAinhoudstabel"/>
    <w:rsid w:val="00B7661E"/>
    <w:rPr>
      <w:rFonts w:ascii="HelveticaNeueLT Std Cn" w:hAnsi="HelveticaNeueLT Std Cn"/>
      <w:color w:val="808080" w:themeColor="background1" w:themeShade="80"/>
      <w:sz w:val="24"/>
      <w:szCs w:val="24"/>
    </w:rPr>
  </w:style>
  <w:style w:type="paragraph" w:styleId="Lijstalinea">
    <w:name w:val="List Paragraph"/>
    <w:basedOn w:val="Standaard"/>
    <w:uiPriority w:val="34"/>
    <w:qFormat/>
    <w:rsid w:val="00A377B9"/>
    <w:pPr>
      <w:ind w:left="720"/>
      <w:contextualSpacing/>
    </w:pPr>
  </w:style>
  <w:style w:type="table" w:styleId="Lijsttabel3-Accent4">
    <w:name w:val="List Table 3 Accent 4"/>
    <w:basedOn w:val="Standaardtabel"/>
    <w:uiPriority w:val="48"/>
    <w:rsid w:val="00670AD3"/>
    <w:pPr>
      <w:spacing w:after="0" w:line="240" w:lineRule="auto"/>
    </w:pPr>
    <w:tblPr>
      <w:tblStyleRowBandSize w:val="1"/>
      <w:tblStyleColBandSize w:val="1"/>
      <w:tblInd w:w="0" w:type="nil"/>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Rastertabel4-Accent4">
    <w:name w:val="Grid Table 4 Accent 4"/>
    <w:basedOn w:val="Standaardtabel"/>
    <w:uiPriority w:val="49"/>
    <w:rsid w:val="00670A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Ballontekst">
    <w:name w:val="Balloon Text"/>
    <w:basedOn w:val="Standaard"/>
    <w:link w:val="BallontekstChar"/>
    <w:uiPriority w:val="99"/>
    <w:semiHidden/>
    <w:unhideWhenUsed/>
    <w:rsid w:val="002E7F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7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unicatie\Verkiezingen\Verkiezingen%202018\Templates\Verkiezingsprogramma%202018.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EC99E-F2D0-416B-9636-339B6A14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Verkiezingsprogramma 2018.dotx</Template>
  <TotalTime>70</TotalTime>
  <Pages>4</Pages>
  <Words>1029</Words>
  <Characters>5660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Hiers</dc:creator>
  <cp:keywords/>
  <dc:description/>
  <cp:lastModifiedBy>Freya Perdaens</cp:lastModifiedBy>
  <cp:revision>9</cp:revision>
  <dcterms:created xsi:type="dcterms:W3CDTF">2018-09-05T13:56:00Z</dcterms:created>
  <dcterms:modified xsi:type="dcterms:W3CDTF">2018-09-06T12:23:00Z</dcterms:modified>
</cp:coreProperties>
</file>